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  <Override ContentType="application/vnd.openxmlformats-officedocument.wordprocessingml.header+xml" PartName="/word/header5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0</wp:posOffset>
            </wp:positionH>
            <wp:positionV relativeFrom="page">
              <wp:posOffset>2</wp:posOffset>
            </wp:positionV>
            <wp:extent cx="3635997" cy="8010001"/>
            <wp:effectExtent b="0" l="0" r="0" t="0"/>
            <wp:wrapNone/>
            <wp:docPr id="147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35997" cy="80100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6433434</wp:posOffset>
                </wp:positionH>
                <wp:positionV relativeFrom="page">
                  <wp:posOffset>9403431</wp:posOffset>
                </wp:positionV>
                <wp:extent cx="1155700" cy="1316702"/>
                <wp:effectExtent b="0" l="0" r="0" t="0"/>
                <wp:wrapNone/>
                <wp:docPr id="1462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4796725" y="3149763"/>
                          <a:ext cx="1098550" cy="1260475"/>
                        </a:xfrm>
                        <a:custGeom>
                          <a:rect b="b" l="l" r="r" t="t"/>
                          <a:pathLst>
                            <a:path extrusionOk="0" h="1260475" w="1098550">
                              <a:moveTo>
                                <a:pt x="1097998" y="0"/>
                              </a:moveTo>
                              <a:lnTo>
                                <a:pt x="251993" y="0"/>
                              </a:lnTo>
                              <a:lnTo>
                                <a:pt x="206695" y="4060"/>
                              </a:lnTo>
                              <a:lnTo>
                                <a:pt x="164061" y="15766"/>
                              </a:lnTo>
                              <a:lnTo>
                                <a:pt x="124804" y="34406"/>
                              </a:lnTo>
                              <a:lnTo>
                                <a:pt x="89634" y="59268"/>
                              </a:lnTo>
                              <a:lnTo>
                                <a:pt x="59263" y="89641"/>
                              </a:lnTo>
                              <a:lnTo>
                                <a:pt x="34402" y="124813"/>
                              </a:lnTo>
                              <a:lnTo>
                                <a:pt x="15764" y="164072"/>
                              </a:lnTo>
                              <a:lnTo>
                                <a:pt x="4059" y="206707"/>
                              </a:lnTo>
                              <a:lnTo>
                                <a:pt x="0" y="252006"/>
                              </a:lnTo>
                              <a:lnTo>
                                <a:pt x="0" y="1260000"/>
                              </a:lnTo>
                              <a:lnTo>
                                <a:pt x="1097998" y="1260000"/>
                              </a:lnTo>
                              <a:lnTo>
                                <a:pt x="1097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CACA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6433434</wp:posOffset>
                </wp:positionH>
                <wp:positionV relativeFrom="page">
                  <wp:posOffset>9403431</wp:posOffset>
                </wp:positionV>
                <wp:extent cx="1155700" cy="1316702"/>
                <wp:effectExtent b="0" l="0" r="0" t="0"/>
                <wp:wrapNone/>
                <wp:docPr id="146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5700" cy="131670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1350963" cy="190500"/>
            <wp:effectExtent b="0" l="0" r="0" t="0"/>
            <wp:wrapNone/>
            <wp:docPr id="147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0963" cy="190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257" w:right="661" w:firstLine="0"/>
        <w:jc w:val="center"/>
        <w:rPr>
          <w:b w:val="1"/>
          <w:color w:val="878b88"/>
          <w:sz w:val="40"/>
          <w:szCs w:val="40"/>
        </w:rPr>
      </w:pPr>
      <w:r w:rsidDel="00000000" w:rsidR="00000000" w:rsidRPr="00000000">
        <w:rPr>
          <w:b w:val="1"/>
          <w:color w:val="2bcaca"/>
          <w:sz w:val="54"/>
          <w:szCs w:val="54"/>
          <w:rtl w:val="0"/>
        </w:rPr>
        <w:t xml:space="preserve">DOCUMENTO ORIENTADOR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right="661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right="661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right="661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right="661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257" w:right="661" w:firstLine="0"/>
        <w:jc w:val="center"/>
        <w:rPr>
          <w:b w:val="1"/>
          <w:color w:val="878b88"/>
          <w:sz w:val="34"/>
          <w:szCs w:val="34"/>
        </w:rPr>
      </w:pPr>
      <w:r w:rsidDel="00000000" w:rsidR="00000000" w:rsidRPr="00000000">
        <w:rPr>
          <w:b w:val="1"/>
          <w:color w:val="878b88"/>
          <w:sz w:val="34"/>
          <w:szCs w:val="34"/>
          <w:rtl w:val="0"/>
        </w:rPr>
        <w:t xml:space="preserve">Projeto</w:t>
      </w:r>
    </w:p>
    <w:p w:rsidR="00000000" w:rsidDel="00000000" w:rsidP="00000000" w:rsidRDefault="00000000" w:rsidRPr="00000000" w14:paraId="0000000C">
      <w:pPr>
        <w:ind w:left="5257" w:right="661" w:firstLine="0"/>
        <w:jc w:val="center"/>
        <w:rPr>
          <w:b w:val="1"/>
          <w:color w:val="878b88"/>
          <w:sz w:val="34"/>
          <w:szCs w:val="34"/>
        </w:rPr>
      </w:pPr>
      <w:r w:rsidDel="00000000" w:rsidR="00000000" w:rsidRPr="00000000">
        <w:rPr>
          <w:b w:val="1"/>
          <w:color w:val="878b88"/>
          <w:sz w:val="34"/>
          <w:szCs w:val="34"/>
          <w:rtl w:val="0"/>
        </w:rPr>
        <w:t xml:space="preserve">ALUNO MONITOR</w:t>
      </w:r>
    </w:p>
    <w:p w:rsidR="00000000" w:rsidDel="00000000" w:rsidP="00000000" w:rsidRDefault="00000000" w:rsidRPr="00000000" w14:paraId="0000000D">
      <w:pPr>
        <w:ind w:left="5257" w:right="661" w:firstLine="0"/>
        <w:jc w:val="center"/>
        <w:rPr>
          <w:b w:val="1"/>
          <w:color w:val="878b88"/>
          <w:sz w:val="34"/>
          <w:szCs w:val="34"/>
        </w:rPr>
      </w:pPr>
      <w:r w:rsidDel="00000000" w:rsidR="00000000" w:rsidRPr="00000000">
        <w:rPr>
          <w:b w:val="1"/>
          <w:color w:val="878b88"/>
          <w:sz w:val="34"/>
          <w:szCs w:val="34"/>
          <w:rtl w:val="0"/>
        </w:rPr>
        <w:t xml:space="preserve">2025</w:t>
      </w:r>
    </w:p>
    <w:p w:rsidR="00000000" w:rsidDel="00000000" w:rsidP="00000000" w:rsidRDefault="00000000" w:rsidRPr="00000000" w14:paraId="0000000E">
      <w:pPr>
        <w:ind w:left="5257" w:right="661" w:firstLine="0"/>
        <w:jc w:val="center"/>
        <w:rPr>
          <w:color w:val="878b88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257" w:right="661" w:firstLine="0"/>
        <w:jc w:val="center"/>
        <w:rPr>
          <w:color w:val="878b88"/>
          <w:sz w:val="24"/>
          <w:szCs w:val="24"/>
        </w:rPr>
      </w:pPr>
      <w:r w:rsidDel="00000000" w:rsidR="00000000" w:rsidRPr="00000000">
        <w:rPr>
          <w:color w:val="878b88"/>
          <w:sz w:val="24"/>
          <w:szCs w:val="24"/>
          <w:rtl w:val="0"/>
        </w:rPr>
        <w:t xml:space="preserve">Anos Finais do Ensino Fundamental</w:t>
      </w:r>
    </w:p>
    <w:p w:rsidR="00000000" w:rsidDel="00000000" w:rsidP="00000000" w:rsidRDefault="00000000" w:rsidRPr="00000000" w14:paraId="00000010">
      <w:pPr>
        <w:ind w:left="5257" w:right="661" w:firstLine="0"/>
        <w:jc w:val="center"/>
        <w:rPr>
          <w:color w:val="878b88"/>
          <w:sz w:val="24"/>
          <w:szCs w:val="24"/>
        </w:rPr>
      </w:pPr>
      <w:r w:rsidDel="00000000" w:rsidR="00000000" w:rsidRPr="00000000">
        <w:rPr>
          <w:color w:val="878b88"/>
          <w:sz w:val="24"/>
          <w:szCs w:val="24"/>
          <w:rtl w:val="0"/>
        </w:rPr>
        <w:t xml:space="preserve">Ensino Médio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color w:val="878b88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" w:line="240" w:lineRule="auto"/>
        <w:ind w:left="0" w:right="0" w:firstLine="0"/>
        <w:jc w:val="left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342900</wp:posOffset>
                </wp:positionV>
                <wp:extent cx="566420" cy="266700"/>
                <wp:effectExtent b="0" l="0" r="0" t="0"/>
                <wp:wrapTopAndBottom distB="0" distT="0"/>
                <wp:docPr id="146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062775" y="3646650"/>
                          <a:ext cx="566420" cy="266700"/>
                          <a:chOff x="5062775" y="3646650"/>
                          <a:chExt cx="566450" cy="266700"/>
                        </a:xfrm>
                      </wpg:grpSpPr>
                      <wpg:grpSp>
                        <wpg:cNvGrpSpPr/>
                        <wpg:grpSpPr>
                          <a:xfrm>
                            <a:off x="5062790" y="3646650"/>
                            <a:ext cx="566420" cy="266700"/>
                            <a:chOff x="5062775" y="3646650"/>
                            <a:chExt cx="566450" cy="2667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5062775" y="3646650"/>
                              <a:ext cx="566450" cy="266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5062790" y="3646650"/>
                              <a:ext cx="566420" cy="266700"/>
                              <a:chOff x="5062775" y="3646650"/>
                              <a:chExt cx="566450" cy="26670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5062775" y="3646650"/>
                                <a:ext cx="56645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062790" y="3646650"/>
                                <a:ext cx="566420" cy="266700"/>
                                <a:chOff x="5062775" y="3646650"/>
                                <a:chExt cx="566450" cy="266700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5062775" y="3646650"/>
                                  <a:ext cx="56645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5062790" y="3646650"/>
                                  <a:ext cx="566428" cy="266700"/>
                                  <a:chOff x="5062775" y="3646650"/>
                                  <a:chExt cx="566458" cy="266700"/>
                                </a:xfrm>
                              </wpg:grpSpPr>
                              <wps:wsp>
                                <wps:cNvSpPr/>
                                <wps:cNvPr id="9" name="Shape 9"/>
                                <wps:spPr>
                                  <a:xfrm>
                                    <a:off x="5062775" y="3646650"/>
                                    <a:ext cx="56645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5062790" y="3646650"/>
                                    <a:ext cx="566443" cy="266700"/>
                                    <a:chOff x="5062775" y="3646650"/>
                                    <a:chExt cx="566448" cy="266700"/>
                                  </a:xfrm>
                                </wpg:grpSpPr>
                                <wps:wsp>
                                  <wps:cNvSpPr/>
                                  <wps:cNvPr id="11" name="Shape 11"/>
                                  <wps:spPr>
                                    <a:xfrm>
                                      <a:off x="5062775" y="3646650"/>
                                      <a:ext cx="566425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5062790" y="3646650"/>
                                      <a:ext cx="566433" cy="266700"/>
                                      <a:chOff x="0" y="0"/>
                                      <a:chExt cx="566433" cy="266700"/>
                                    </a:xfrm>
                                  </wpg:grpSpPr>
                                  <wps:wsp>
                                    <wps:cNvSpPr/>
                                    <wps:cNvPr id="13" name="Shape 13"/>
                                    <wps:spPr>
                                      <a:xfrm>
                                        <a:off x="0" y="0"/>
                                        <a:ext cx="566400" cy="26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s:wsp>
                                    <wps:cNvSpPr/>
                                    <wps:cNvPr id="14" name="Shape 14"/>
                                    <wps:spPr>
                                      <a:xfrm>
                                        <a:off x="299733" y="0"/>
                                        <a:ext cx="266700" cy="266700"/>
                                      </a:xfrm>
                                      <a:custGeom>
                                        <a:rect b="b" l="l" r="r" t="t"/>
                                        <a:pathLst>
                                          <a:path extrusionOk="0" h="266700" w="266700">
                                            <a:moveTo>
                                              <a:pt x="199809" y="0"/>
                                            </a:moveTo>
                                            <a:lnTo>
                                              <a:pt x="33299" y="0"/>
                                            </a:lnTo>
                                            <a:lnTo>
                                              <a:pt x="20338" y="2616"/>
                                            </a:lnTo>
                                            <a:lnTo>
                                              <a:pt x="9753" y="9753"/>
                                            </a:lnTo>
                                            <a:lnTo>
                                              <a:pt x="2616" y="20338"/>
                                            </a:lnTo>
                                            <a:lnTo>
                                              <a:pt x="0" y="33299"/>
                                            </a:lnTo>
                                            <a:lnTo>
                                              <a:pt x="0" y="266420"/>
                                            </a:lnTo>
                                            <a:lnTo>
                                              <a:pt x="133210" y="199821"/>
                                            </a:lnTo>
                                            <a:lnTo>
                                              <a:pt x="199809" y="199821"/>
                                            </a:lnTo>
                                            <a:lnTo>
                                              <a:pt x="225738" y="194585"/>
                                            </a:lnTo>
                                            <a:lnTo>
                                              <a:pt x="246911" y="180308"/>
                                            </a:lnTo>
                                            <a:lnTo>
                                              <a:pt x="261186" y="159134"/>
                                            </a:lnTo>
                                            <a:lnTo>
                                              <a:pt x="266420" y="133210"/>
                                            </a:lnTo>
                                            <a:lnTo>
                                              <a:pt x="266420" y="66611"/>
                                            </a:lnTo>
                                            <a:lnTo>
                                              <a:pt x="261186" y="40681"/>
                                            </a:lnTo>
                                            <a:lnTo>
                                              <a:pt x="246911" y="19508"/>
                                            </a:lnTo>
                                            <a:lnTo>
                                              <a:pt x="225738" y="5234"/>
                                            </a:lnTo>
                                            <a:lnTo>
                                              <a:pt x="19980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EF3939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s:wsp>
                                    <wps:cNvSpPr/>
                                    <wps:cNvPr id="15" name="Shape 15"/>
                                    <wps:spPr>
                                      <a:xfrm>
                                        <a:off x="0" y="0"/>
                                        <a:ext cx="266700" cy="266700"/>
                                      </a:xfrm>
                                      <a:custGeom>
                                        <a:rect b="b" l="l" r="r" t="t"/>
                                        <a:pathLst>
                                          <a:path extrusionOk="0" h="266700" w="266700">
                                            <a:moveTo>
                                              <a:pt x="266420" y="0"/>
                                            </a:moveTo>
                                            <a:lnTo>
                                              <a:pt x="199821" y="0"/>
                                            </a:lnTo>
                                            <a:lnTo>
                                              <a:pt x="66611" y="0"/>
                                            </a:lnTo>
                                            <a:lnTo>
                                              <a:pt x="40687" y="5234"/>
                                            </a:lnTo>
                                            <a:lnTo>
                                              <a:pt x="19513" y="19508"/>
                                            </a:lnTo>
                                            <a:lnTo>
                                              <a:pt x="5235" y="40681"/>
                                            </a:lnTo>
                                            <a:lnTo>
                                              <a:pt x="0" y="66611"/>
                                            </a:lnTo>
                                            <a:lnTo>
                                              <a:pt x="5235" y="92533"/>
                                            </a:lnTo>
                                            <a:lnTo>
                                              <a:pt x="19513" y="113703"/>
                                            </a:lnTo>
                                            <a:lnTo>
                                              <a:pt x="40687" y="127976"/>
                                            </a:lnTo>
                                            <a:lnTo>
                                              <a:pt x="66611" y="133210"/>
                                            </a:lnTo>
                                            <a:lnTo>
                                              <a:pt x="0" y="133210"/>
                                            </a:lnTo>
                                            <a:lnTo>
                                              <a:pt x="0" y="266420"/>
                                            </a:lnTo>
                                            <a:lnTo>
                                              <a:pt x="199821" y="266420"/>
                                            </a:lnTo>
                                            <a:lnTo>
                                              <a:pt x="225744" y="261186"/>
                                            </a:lnTo>
                                            <a:lnTo>
                                              <a:pt x="246913" y="246913"/>
                                            </a:lnTo>
                                            <a:lnTo>
                                              <a:pt x="261186" y="225744"/>
                                            </a:lnTo>
                                            <a:lnTo>
                                              <a:pt x="266420" y="199821"/>
                                            </a:lnTo>
                                            <a:lnTo>
                                              <a:pt x="261186" y="173892"/>
                                            </a:lnTo>
                                            <a:lnTo>
                                              <a:pt x="246913" y="152719"/>
                                            </a:lnTo>
                                            <a:lnTo>
                                              <a:pt x="225744" y="138444"/>
                                            </a:lnTo>
                                            <a:lnTo>
                                              <a:pt x="199821" y="133210"/>
                                            </a:lnTo>
                                            <a:lnTo>
                                              <a:pt x="266420" y="133210"/>
                                            </a:lnTo>
                                            <a:lnTo>
                                              <a:pt x="26642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000000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342900</wp:posOffset>
                </wp:positionV>
                <wp:extent cx="566420" cy="266700"/>
                <wp:effectExtent b="0" l="0" r="0" t="0"/>
                <wp:wrapTopAndBottom distB="0" distT="0"/>
                <wp:docPr id="146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642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1859638</wp:posOffset>
            </wp:positionH>
            <wp:positionV relativeFrom="paragraph">
              <wp:posOffset>349409</wp:posOffset>
            </wp:positionV>
            <wp:extent cx="809836" cy="294036"/>
            <wp:effectExtent b="0" l="0" r="0" t="0"/>
            <wp:wrapTopAndBottom distB="0" distT="0"/>
            <wp:docPr id="146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836" cy="2940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3401837</wp:posOffset>
            </wp:positionH>
            <wp:positionV relativeFrom="paragraph">
              <wp:posOffset>295317</wp:posOffset>
            </wp:positionV>
            <wp:extent cx="1222499" cy="319087"/>
            <wp:effectExtent b="0" l="0" r="0" t="0"/>
            <wp:wrapTopAndBottom distB="0" distT="0"/>
            <wp:docPr id="146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2499" cy="3190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" w:line="240" w:lineRule="auto"/>
        <w:ind w:left="0" w:right="0" w:firstLine="0"/>
        <w:jc w:val="left"/>
        <w:rPr>
          <w:b w:val="1"/>
          <w:sz w:val="20"/>
          <w:szCs w:val="20"/>
        </w:rPr>
        <w:sectPr>
          <w:headerReference r:id="rId12" w:type="default"/>
          <w:headerReference r:id="rId13" w:type="first"/>
          <w:footerReference r:id="rId14" w:type="default"/>
          <w:footerReference r:id="rId15" w:type="first"/>
          <w:pgSz w:h="16840" w:w="11910" w:orient="portrait"/>
          <w:pgMar w:bottom="0" w:top="0" w:left="920" w:right="200" w:header="720" w:footer="720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before="166" w:line="324" w:lineRule="auto"/>
        <w:ind w:left="0" w:right="93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Trata-se de orientações para a implementação do Projeto Aluno Monitor, integrante da modalidade Monitoria do Projeto Estágio SP (Resolução SEDUC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28 de janeiro de 2025).</w:t>
      </w:r>
    </w:p>
    <w:p w:rsidR="00000000" w:rsidDel="00000000" w:rsidP="00000000" w:rsidRDefault="00000000" w:rsidRPr="00000000" w14:paraId="0000001D">
      <w:pPr>
        <w:spacing w:before="166" w:line="324" w:lineRule="auto"/>
        <w:ind w:left="0" w:right="93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Lembramos que este documento poderá ser atualizado pela SEDUC, seja para a inclusão ou ajuste de informações a respeito do Projeto, seja para quaisquer outras demandas que aprimorem seu desenvolvimento. Portanto, é recomendada a consulta online.</w:t>
      </w:r>
    </w:p>
    <w:p w:rsidR="00000000" w:rsidDel="00000000" w:rsidP="00000000" w:rsidRDefault="00000000" w:rsidRPr="00000000" w14:paraId="0000001E">
      <w:pPr>
        <w:spacing w:before="167" w:line="240" w:lineRule="auto"/>
        <w:ind w:firstLine="72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Bom trabalho a todos!</w:t>
      </w:r>
    </w:p>
    <w:p w:rsidR="00000000" w:rsidDel="00000000" w:rsidP="00000000" w:rsidRDefault="00000000" w:rsidRPr="00000000" w14:paraId="0000001F">
      <w:pPr>
        <w:spacing w:lin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firstLine="720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Coordenadoria Pedagógica (COPED)</w:t>
      </w:r>
    </w:p>
    <w:p w:rsidR="00000000" w:rsidDel="00000000" w:rsidP="00000000" w:rsidRDefault="00000000" w:rsidRPr="00000000" w14:paraId="00000021">
      <w:pPr>
        <w:spacing w:before="262" w:line="240" w:lineRule="auto"/>
        <w:ind w:firstLine="720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Secretaria da Educação do Estado de São Paulo</w:t>
      </w:r>
    </w:p>
    <w:p w:rsidR="00000000" w:rsidDel="00000000" w:rsidP="00000000" w:rsidRDefault="00000000" w:rsidRPr="00000000" w14:paraId="00000022">
      <w:pPr>
        <w:spacing w:before="167" w:line="240" w:lineRule="auto"/>
        <w:ind w:firstLine="720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28 de janeiro de 2025</w:t>
      </w:r>
    </w:p>
    <w:p w:rsidR="00000000" w:rsidDel="00000000" w:rsidP="00000000" w:rsidRDefault="00000000" w:rsidRPr="00000000" w14:paraId="00000023">
      <w:pPr>
        <w:spacing w:before="262" w:line="240" w:lineRule="auto"/>
        <w:ind w:firstLine="720"/>
        <w:rPr>
          <w:rFonts w:ascii="Montserrat" w:cs="Montserrat" w:eastAsia="Montserrat" w:hAnsi="Montserrat"/>
          <w:b w:val="1"/>
          <w:sz w:val="20"/>
          <w:szCs w:val="20"/>
        </w:rPr>
        <w:sectPr>
          <w:headerReference r:id="rId16" w:type="default"/>
          <w:footerReference r:id="rId17" w:type="default"/>
          <w:type w:val="nextPage"/>
          <w:pgSz w:h="16840" w:w="11910" w:orient="portrait"/>
          <w:pgMar w:bottom="0" w:top="1600" w:left="920" w:right="200" w:header="720" w:footer="72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Montserrat" w:cs="Montserrat" w:eastAsia="Montserrat" w:hAnsi="Montserrat"/>
          <w:b w:val="1"/>
          <w:sz w:val="54"/>
          <w:szCs w:val="5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54"/>
          <w:szCs w:val="54"/>
          <w:rtl w:val="0"/>
        </w:rPr>
        <w:t xml:space="preserve">SUMÁRIO</w:t>
      </w:r>
    </w:p>
    <w:p w:rsidR="00000000" w:rsidDel="00000000" w:rsidP="00000000" w:rsidRDefault="00000000" w:rsidRPr="00000000" w14:paraId="00000025">
      <w:pPr>
        <w:jc w:val="center"/>
        <w:rPr>
          <w:rFonts w:ascii="Montserrat" w:cs="Montserrat" w:eastAsia="Montserrat" w:hAnsi="Montserrat"/>
          <w:b w:val="1"/>
          <w:sz w:val="54"/>
          <w:szCs w:val="54"/>
        </w:rPr>
      </w:pP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26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heading=h.5ez2zkls7i0m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O Projeto Aluno Monitor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g3q7z7v2vrrq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Cronograma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dou4uj9aq45s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Metodologia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8ba49wiqdarh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troca entre pares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mpa3x2apyhsq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Currículo focado no proficiência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vertAlign w:val="baseline"/>
            </w:rPr>
          </w:pPr>
          <w:hyperlink w:anchor="_heading=h.n5dyvq5djwvs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Desenvolvimento de habilidades socioemocionais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y39vizb07c8v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Da seleção do Aluno Monitor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2s98r4yvr0lh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Elegibilidade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5iei8l4p8ohr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Processo de inscrição e aprovação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1o1rqlv2darp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 Carga horária</w:t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wry01zvt1ww1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 Das modalidades de atuação do Aluno Monitor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4gzy1a6yj258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6.1 Escolas de jornada Parcial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ivehp8mvno1y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6.2 Escolas de Programa de Tempo Integral (PEI)</w:t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cht2tnx56gs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6.3 Escolas de Ensino Médio no período noturno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4s469axw356e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7. Da alocação do Aluno Monitor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6mrsjcpxlm3f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8. Da atuação do Aluno Monitor</w:t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n0ny9koi7wur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Responsabilidades</w:t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ga12rey3ol9x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9. Da atuação da Comunidade Escolar</w:t>
              <w:tab/>
              <w:t xml:space="preserve">14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y4aiza8r3rf2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Unidade Escolar</w:t>
              <w:tab/>
              <w:t xml:space="preserve">14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mqe6wr1dkmel"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Professor do componente de Orientação de Estudos</w:t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vertAlign w:val="baseline"/>
            </w:rPr>
          </w:pPr>
          <w:hyperlink w:anchor="_heading=h.o7lnenmczlwz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10. Do pagamento das bolsas</w:t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cnw1yen3nlfd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11. Considerações finais</w:t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tabs>
              <w:tab w:val="right" w:leader="none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tap8gvojvjqi"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Referências</w:t>
              <w:tab/>
              <w:t xml:space="preserve">20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3D">
      <w:pPr>
        <w:jc w:val="center"/>
        <w:rPr>
          <w:rFonts w:ascii="Montserrat" w:cs="Montserrat" w:eastAsia="Montserrat" w:hAnsi="Montserrat"/>
          <w:b w:val="1"/>
          <w:sz w:val="54"/>
          <w:szCs w:val="54"/>
        </w:rPr>
        <w:sectPr>
          <w:headerReference r:id="rId18" w:type="default"/>
          <w:type w:val="nextPage"/>
          <w:pgSz w:h="16840" w:w="11910" w:orient="portrait"/>
          <w:pgMar w:bottom="1133.8582677165355" w:top="1700.7874015748032" w:left="1700.7874015748032" w:right="577.2047244094489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1"/>
        <w:numPr>
          <w:ilvl w:val="0"/>
          <w:numId w:val="19"/>
        </w:numPr>
        <w:rPr>
          <w:rFonts w:ascii="Montserrat" w:cs="Montserrat" w:eastAsia="Montserrat" w:hAnsi="Montserrat"/>
          <w:color w:val="2bcaca"/>
          <w:sz w:val="32"/>
          <w:szCs w:val="32"/>
          <w:vertAlign w:val="baseline"/>
        </w:rPr>
      </w:pPr>
      <w:bookmarkStart w:colFirst="0" w:colLast="0" w:name="_heading=h.5ez2zkls7i0m" w:id="0"/>
      <w:bookmarkEnd w:id="0"/>
      <w:r w:rsidDel="00000000" w:rsidR="00000000" w:rsidRPr="00000000">
        <w:rPr>
          <w:rtl w:val="0"/>
        </w:rPr>
        <w:t xml:space="preserve">O Projeto Aluno Monitor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Projeto Aluno Monitor trata-se de uma iniciativa que visa unir esforços para implementar ações de recomposição das aprendizagens, impulsionar o protagonismo juvenil, o engajamento escolar e a aprendizagem colaborativa. Este documento busca oferecer diretrizes para a implementação do Projeto, garantindo que seus objetivos sejam alcançados e que a sua execução seja alinhada às necessidades das escolas e dos estudantes.</w:t>
      </w:r>
    </w:p>
    <w:p w:rsidR="00000000" w:rsidDel="00000000" w:rsidP="00000000" w:rsidRDefault="00000000" w:rsidRPr="00000000" w14:paraId="00000040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proposta central do Projeto é engajar estudantes da 3ª série do Ensino Médio como monitores de seus pares, criando um ambiente de apoio mútuo que contribua para a superação de desafios de aprendizagem. Por meio da monitoria, os estudantes têm a oportunidade de desempenhar um papel ativo na comunidade escolar, fortalecendo as relações entre colegas e fomentando uma cultura de cooperação e protagonismo. As ações são especialmente voltadas para o aprimoramento das aprendizagens nos componentes de Língua Portuguesa e Matemática.</w:t>
      </w:r>
    </w:p>
    <w:p w:rsidR="00000000" w:rsidDel="00000000" w:rsidP="00000000" w:rsidRDefault="00000000" w:rsidRPr="00000000" w14:paraId="00000041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As diretrizes para a implementação do Projeto são conduzidas pela Secretaria da Educação, que assume a responsabilidade pela orientação das atividades a serem realizadas. Entre os principais objetivos do Projeto, destacam-se: engajar monitores e monitorados no processo de ensino e aprendizagem, fortalecer a interação entre pares e a comunidade escolar, garantir suporte pedagógico adicional aos estudantes que enfrentam maiores desafios e promover a melhoria do desempenho nas avaliações internas e externas. O Projeto Aluno Monitor também se destaca como uma ferramenta estratégica para fomentar a autonomia e a responsabilidade dos estudantes monitores.</w:t>
      </w:r>
    </w:p>
    <w:p w:rsidR="00000000" w:rsidDel="00000000" w:rsidP="00000000" w:rsidRDefault="00000000" w:rsidRPr="00000000" w14:paraId="00000042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Ao longo deste documento, serão detalhadas as etapas para a implementação do Projeto, os critérios de seleção e elegibilidade dos participantes, o processo de seleção e aprovação, o processo de alocação, a carga horária, as atribuições e responsabilidades das partes envolvidas, os requisitos e fluxo para o pagamento da bolsa, entre outras informações relevantes. O objetivo é assegurar que todos os envolvidos tenham clareza sobre suas atribuições e contribuições, fortalecendo o compromisso coletivo com a educação de qualidade e com a valorização do potencial de cada estudante.</w:t>
      </w:r>
    </w:p>
    <w:p w:rsidR="00000000" w:rsidDel="00000000" w:rsidP="00000000" w:rsidRDefault="00000000" w:rsidRPr="00000000" w14:paraId="00000043">
      <w:pPr>
        <w:pStyle w:val="Heading1"/>
        <w:rPr/>
      </w:pPr>
      <w:bookmarkStart w:colFirst="0" w:colLast="0" w:name="_heading=h.g3q7z7v2vrrq" w:id="1"/>
      <w:bookmarkEnd w:id="1"/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vertAlign w:val="baseline"/>
          <w:rtl w:val="0"/>
        </w:rPr>
        <w:t xml:space="preserve">. Cronograma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Publicação do edital: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até 10/02/2025.</w:t>
      </w:r>
    </w:p>
    <w:p w:rsidR="00000000" w:rsidDel="00000000" w:rsidP="00000000" w:rsidRDefault="00000000" w:rsidRPr="00000000" w14:paraId="00000046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Período de inscrições: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10/02/2025 a 25/02/2025.</w:t>
      </w:r>
    </w:p>
    <w:p w:rsidR="00000000" w:rsidDel="00000000" w:rsidP="00000000" w:rsidRDefault="00000000" w:rsidRPr="00000000" w14:paraId="00000047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Período de aprovações: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26/02/2025 a 07/03/2025.</w:t>
      </w:r>
    </w:p>
    <w:p w:rsidR="00000000" w:rsidDel="00000000" w:rsidP="00000000" w:rsidRDefault="00000000" w:rsidRPr="00000000" w14:paraId="00000048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Início da monitora: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10/03/2025.</w:t>
      </w:r>
    </w:p>
    <w:p w:rsidR="00000000" w:rsidDel="00000000" w:rsidP="00000000" w:rsidRDefault="00000000" w:rsidRPr="00000000" w14:paraId="00000049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Período para troca de monitores: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até 31/10/2025.</w:t>
      </w:r>
    </w:p>
    <w:p w:rsidR="00000000" w:rsidDel="00000000" w:rsidP="00000000" w:rsidRDefault="00000000" w:rsidRPr="00000000" w14:paraId="0000004A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Fim da monitoria: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12/12/2025.</w:t>
      </w:r>
    </w:p>
    <w:p w:rsidR="00000000" w:rsidDel="00000000" w:rsidP="00000000" w:rsidRDefault="00000000" w:rsidRPr="00000000" w14:paraId="0000004B">
      <w:pPr>
        <w:spacing w:line="360" w:lineRule="auto"/>
        <w:ind w:lef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1"/>
        <w:rPr>
          <w:vertAlign w:val="baseline"/>
        </w:rPr>
      </w:pPr>
      <w:bookmarkStart w:colFirst="0" w:colLast="0" w:name="_heading=h.dou4uj9aq45s" w:id="2"/>
      <w:bookmarkEnd w:id="2"/>
      <w:r w:rsidDel="00000000" w:rsidR="00000000" w:rsidRPr="00000000">
        <w:rPr>
          <w:rtl w:val="0"/>
        </w:rPr>
        <w:t xml:space="preserve">3. </w:t>
      </w:r>
      <w:r w:rsidDel="00000000" w:rsidR="00000000" w:rsidRPr="00000000">
        <w:rPr>
          <w:vertAlign w:val="baseline"/>
          <w:rtl w:val="0"/>
        </w:rPr>
        <w:t xml:space="preserve">Metodologia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Projeto Aluno Monitor estrutura-se a partir de três pilares metodológicos fundamentais, que orientam tanto o planejamento quanto a execução das atividades de monitoria: (i) a troca entre pares; (ii) o currículo focado na proficiência; e (iii) o desenvolvimento de habilidades socioemocionais dos monitores. Esses pilares foram selecionados com o objetivo de garantir uma abordagem pedagógica integrada, que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promove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o fortalecimento acadêmico, o protagonismo estudantil e o desenvolvimento de competências essenciais para o sucesso dos estudantes no contexto escolar e além dele.</w:t>
      </w:r>
    </w:p>
    <w:p w:rsidR="00000000" w:rsidDel="00000000" w:rsidP="00000000" w:rsidRDefault="00000000" w:rsidRPr="00000000" w14:paraId="0000004F">
      <w:pPr>
        <w:pStyle w:val="Heading1"/>
        <w:spacing w:after="40" w:before="240" w:lineRule="auto"/>
        <w:ind w:firstLine="720"/>
        <w:rPr>
          <w:vertAlign w:val="baseline"/>
        </w:rPr>
      </w:pPr>
      <w:bookmarkStart w:colFirst="0" w:colLast="0" w:name="_heading=h.8ba49wiqdarh" w:id="3"/>
      <w:bookmarkEnd w:id="3"/>
      <w:r w:rsidDel="00000000" w:rsidR="00000000" w:rsidRPr="00000000">
        <w:rPr>
          <w:vertAlign w:val="baseline"/>
          <w:rtl w:val="0"/>
        </w:rPr>
        <w:t xml:space="preserve">A troca entre pares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monitoria entre pares e entre idades diferentes é uma prática pedagógica que se destaca por seus inúmeros benefícios e especificações técnicas. Essa abordagem promove um ambiente de aprendizado colaborativo, no qual os estudantes assumem papeis de monitores e monitorados, fortalecendo tanto habilidades acadêmicas quanto sociais emocionais. A prática pode ser definida pela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monitoria entre pares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, em que estudantes de um mesmo nível de conhecimento colaboram entre si para aprenderem juntos, e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monitoria entre níveis diferentes,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em que estudantes mais experientes ou de faixas etárias superiores auxiliam estudantes mais novos, funcionando como mentores.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implementação da prática de monitoria exige etapas estruturadas de implementação, bem como o envolvimento de diferentes atores da comunidade escolar, envolve processos como a seleção de monitores (estudantes com destaque  acadêmico), a preparação dos monitores e o planejamento dos momentos com os monitorados.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ab/>
        <w:t xml:space="preserve">E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ssa abordagem pode promover melhoria nas habilidades de leitura, escrita e matemática, com impacto direto no desempenho em avaliações padronizadas; na promoção de autoestima, habilidades de comunicação e fortalecimento das relações interpessoais; além de uma maior cooperação e engajamento dentro e fora da sala de aula, desenvolvendo habilidades transferíveis para a vida adulta.</w:t>
      </w:r>
    </w:p>
    <w:p w:rsidR="00000000" w:rsidDel="00000000" w:rsidP="00000000" w:rsidRDefault="00000000" w:rsidRPr="00000000" w14:paraId="00000053">
      <w:pPr>
        <w:pStyle w:val="Heading1"/>
        <w:spacing w:after="240" w:before="240" w:line="360" w:lineRule="auto"/>
        <w:ind w:firstLine="720"/>
        <w:jc w:val="both"/>
        <w:rPr>
          <w:vertAlign w:val="baseline"/>
        </w:rPr>
      </w:pPr>
      <w:bookmarkStart w:colFirst="0" w:colLast="0" w:name="_heading=h.mpa3x2apyhsq" w:id="4"/>
      <w:bookmarkEnd w:id="4"/>
      <w:r w:rsidDel="00000000" w:rsidR="00000000" w:rsidRPr="00000000">
        <w:rPr>
          <w:rtl w:val="0"/>
        </w:rPr>
        <w:t xml:space="preserve">Currículo focado no proficiência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estudantes monitores atuarão, preferencialmente, no componente curricular de Orientação de Estudos (OE 9º ano e 3ª série), alinhado à Matriz de Referência do SAEB, com foco no desenvolvimento das habilidades essenciais de Língua Portuguesa e Matemática.</w:t>
      </w:r>
    </w:p>
    <w:p w:rsidR="00000000" w:rsidDel="00000000" w:rsidP="00000000" w:rsidRDefault="00000000" w:rsidRPr="00000000" w14:paraId="00000055">
      <w:pPr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Essa abordagem busca fortalecer a proficiência dos estudantes, aprimorando seu desempenho em avaliações internas e externas, além de promover a recomposição das aprendizagens e o avanço em habilidades estruturantes.</w:t>
      </w:r>
    </w:p>
    <w:p w:rsidR="00000000" w:rsidDel="00000000" w:rsidP="00000000" w:rsidRDefault="00000000" w:rsidRPr="00000000" w14:paraId="00000056">
      <w:pPr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estudantes do 9º ano do Ensino Fundamental e da 3ª série do Ensino Médio dispõem de materiais didáticos específicos para as aulas de OE, organizados em formato impresso e estruturados em missões temáticas. Cada missão segue um percurso didático progressivo, com atividades que evoluem do nível básico ao avançado, incluindo questões no formato SAEB que possibilitam a prática direcionada das competências avaliadas. Esses materiais estão integrados à matriz curricular e planejados para 32 semanas, promovendo o aprendizado contínuo e consistente.</w:t>
      </w:r>
    </w:p>
    <w:p w:rsidR="00000000" w:rsidDel="00000000" w:rsidP="00000000" w:rsidRDefault="00000000" w:rsidRPr="00000000" w14:paraId="00000057">
      <w:pPr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processo avaliativo inclui dois simulados impressos e três provas digitais ao longo do ano, todos alinhados à Matriz SAEB e à Teoria de Resposta ao Item (TRI). Essa metodologia não apenas mede o desempenho dos estudantes, mas também fornece dados fundamentais para o planejamento pedagógico. Esses dados permitem intervenções específicas e personalizadas, garantindo o acompanhamento das habilidades e o suporte necessário para superar dificuldades e alcançar a proficiência esperada.</w:t>
      </w:r>
    </w:p>
    <w:p w:rsidR="00000000" w:rsidDel="00000000" w:rsidP="00000000" w:rsidRDefault="00000000" w:rsidRPr="00000000" w14:paraId="00000058">
      <w:pPr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formação continuada dos professores é realizada por meio de ATPCs, encontros específicos com Professores Coordenadores de Língua Portuguesa e Matemática, e pelo programa Multiplica. </w:t>
      </w:r>
    </w:p>
    <w:p w:rsidR="00000000" w:rsidDel="00000000" w:rsidP="00000000" w:rsidRDefault="00000000" w:rsidRPr="00000000" w14:paraId="00000059">
      <w:pPr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monitores são designados para atuar como assistentes pedagógicos, auxiliando os professores regentes na condução de atividades direcionadas ao aprimoramento das competências essenciais. </w:t>
      </w:r>
    </w:p>
    <w:p w:rsidR="00000000" w:rsidDel="00000000" w:rsidP="00000000" w:rsidRDefault="00000000" w:rsidRPr="00000000" w14:paraId="0000005A">
      <w:pPr>
        <w:pStyle w:val="Heading1"/>
        <w:spacing w:after="240" w:before="240" w:line="360" w:lineRule="auto"/>
        <w:ind w:left="720" w:right="0" w:firstLine="0"/>
        <w:rPr>
          <w:vertAlign w:val="baseline"/>
        </w:rPr>
      </w:pPr>
      <w:bookmarkStart w:colFirst="0" w:colLast="0" w:name="_heading=h.n5dyvq5djwvs" w:id="5"/>
      <w:bookmarkEnd w:id="5"/>
      <w:r w:rsidDel="00000000" w:rsidR="00000000" w:rsidRPr="00000000">
        <w:rPr>
          <w:vertAlign w:val="baseline"/>
          <w:rtl w:val="0"/>
        </w:rPr>
        <w:t xml:space="preserve">Desenvolvimento de habilidades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socioemocionais</w:t>
      </w:r>
    </w:p>
    <w:p w:rsidR="00000000" w:rsidDel="00000000" w:rsidP="00000000" w:rsidRDefault="00000000" w:rsidRPr="00000000" w14:paraId="0000005B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Projeto Aluno Monitor tem como objetivo não apenas promover competências acadêmicas, mas também desenvolver habilidades socioemocionais fundamentais para o sucesso dos participantes. Inspirado na matriz de competências do Instituto Ayrton Senna, o projeto valoriza competências como autogestão, engajamento interpessoal e abertura ao novo, e outras, alinhando essas habilidades às demandas práticas das atividades de monitoria.</w:t>
      </w:r>
    </w:p>
    <w:p w:rsidR="00000000" w:rsidDel="00000000" w:rsidP="00000000" w:rsidRDefault="00000000" w:rsidRPr="00000000" w14:paraId="0000005C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Como exemplo, a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autogestão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é fundamental para que o monitor organize suas atividades, estude previamente os materiais das aulas de Orientação de Estudos (OE) e gerencie seu tempo com eficiência. Por exemplo, o monitor precisa planejar sua participação nas aulas, revisar conteúdos pedagógicos e cumprir prazos na entrega de relatórios mensais.</w:t>
      </w:r>
    </w:p>
    <w:p w:rsidR="00000000" w:rsidDel="00000000" w:rsidP="00000000" w:rsidRDefault="00000000" w:rsidRPr="00000000" w14:paraId="0000005D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Por outro lado, o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engajamento com os outros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é necessário para o desenvolvimento de um ambiente de aprendizado colaborativo. Os monitores devem se envolver ativamente com os colegas monitorados, promovendo trocas produtivas e fortalecendo o senso de pertencimento na escola. Essa habilidade é particularmente importante durante atividades em grupo ou na mediação de dúvidas.</w:t>
      </w:r>
    </w:p>
    <w:p w:rsidR="00000000" w:rsidDel="00000000" w:rsidP="00000000" w:rsidRDefault="00000000" w:rsidRPr="00000000" w14:paraId="0000005E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que o monitor esteja disposto a experimentar metodologias diferentes, adaptar-se às necessidades de cada turma e aprender com as situações do dia a dia da monitoria, faz-se necessária a habilidade de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abertura ao novo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 Por exemplo, o monitor pode aplicar estratégias sugeridas pelos professores e ajustar sua abordagem com base no feedback recebido.</w:t>
      </w:r>
    </w:p>
    <w:p w:rsidR="00000000" w:rsidDel="00000000" w:rsidP="00000000" w:rsidRDefault="00000000" w:rsidRPr="00000000" w14:paraId="0000005F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apoiar o desenvolvimento dessas competências, será disponibilizada uma trilha assíncrona no ambiente virtual de aprendizagem da Secretaria Escolar Digital (SED). Essa trilha contará com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8 módulos de 50 minutos por bimestre (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totalizando 32 módulos anuais), abordando práticas e reflexões sobre como lidar com os desafios da monitoria e fortalecer habilidades socioemocionais. Essa formação complementa as ações práticas realizadas nas escolas, garantindo que os monitores estejam preparados para desempenhar suas funções com autonomia, responsabilidade e protagonismo.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1"/>
        <w:ind w:firstLine="720"/>
        <w:rPr/>
      </w:pPr>
      <w:bookmarkStart w:colFirst="0" w:colLast="0" w:name="_heading=h.y39vizb07c8v" w:id="6"/>
      <w:bookmarkEnd w:id="6"/>
      <w:r w:rsidDel="00000000" w:rsidR="00000000" w:rsidRPr="00000000">
        <w:rPr>
          <w:vertAlign w:val="baseline"/>
          <w:rtl w:val="0"/>
        </w:rPr>
        <w:t xml:space="preserve">4. Da seleção do Aluno Monitor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Style w:val="Heading1"/>
        <w:ind w:firstLine="720"/>
        <w:rPr/>
      </w:pPr>
      <w:bookmarkStart w:colFirst="0" w:colLast="0" w:name="_heading=h.2s98r4yvr0lh" w:id="7"/>
      <w:bookmarkEnd w:id="7"/>
      <w:r w:rsidDel="00000000" w:rsidR="00000000" w:rsidRPr="00000000">
        <w:rPr>
          <w:rtl w:val="0"/>
        </w:rPr>
        <w:t xml:space="preserve">Elegibilidade</w:t>
      </w:r>
    </w:p>
    <w:p w:rsidR="00000000" w:rsidDel="00000000" w:rsidP="00000000" w:rsidRDefault="00000000" w:rsidRPr="00000000" w14:paraId="00000063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participar do Projeto Aluno Monitor, os estudantes devem atender a critérios objetivos. A seleção será conduzida pela Coordenadoria Pedagógica (COPED) em parceria com as Unidades Escolares, seguindo os requisitos abaixo:</w:t>
      </w:r>
    </w:p>
    <w:p w:rsidR="00000000" w:rsidDel="00000000" w:rsidP="00000000" w:rsidRDefault="00000000" w:rsidRPr="00000000" w14:paraId="00000064">
      <w:pPr>
        <w:numPr>
          <w:ilvl w:val="0"/>
          <w:numId w:val="6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Estar matriculado(a) na Rede Estadual de Ensino de São Paulo na 3ª série do EM na unidade escolar onde atuará como monitor(a).</w:t>
      </w:r>
    </w:p>
    <w:p w:rsidR="00000000" w:rsidDel="00000000" w:rsidP="00000000" w:rsidRDefault="00000000" w:rsidRPr="00000000" w14:paraId="00000065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Ter, no mínimo, 14 anos completos na data de inscrição do edital.</w:t>
      </w:r>
    </w:p>
    <w:p w:rsidR="00000000" w:rsidDel="00000000" w:rsidP="00000000" w:rsidRDefault="00000000" w:rsidRPr="00000000" w14:paraId="00000066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Apresentar frequência geral na unidade escolar maior ou igual a 85% no ano de 2024.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Ter realizado o Sistema de Avaliação de Rendimento Escolar do Estado de São Paulo (SARESP) no ano de 2024 e estar dentro do grupo das 20% melhores notas no SARESP no componente, na série, na Unidade Escolar.</w:t>
      </w:r>
    </w:p>
    <w:p w:rsidR="00000000" w:rsidDel="00000000" w:rsidP="00000000" w:rsidRDefault="00000000" w:rsidRPr="00000000" w14:paraId="00000068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Apresentar para a Unidade Escolar autorização de um responsável legal, caso seja menor de 18 anos (Anexo 2 do Edital).</w:t>
      </w:r>
    </w:p>
    <w:p w:rsidR="00000000" w:rsidDel="00000000" w:rsidP="00000000" w:rsidRDefault="00000000" w:rsidRPr="00000000" w14:paraId="00000069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Comprometer-se a cumprir a carga horária de monitoria prevista no Projeto.</w:t>
      </w:r>
    </w:p>
    <w:p w:rsidR="00000000" w:rsidDel="00000000" w:rsidP="00000000" w:rsidRDefault="00000000" w:rsidRPr="00000000" w14:paraId="0000006A">
      <w:pPr>
        <w:numPr>
          <w:ilvl w:val="0"/>
          <w:numId w:val="6"/>
        </w:numPr>
        <w:spacing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Estar quite com as obrigações militares, no caso de estudantes do sexo masculino maiores de 18 anos.</w:t>
      </w:r>
    </w:p>
    <w:p w:rsidR="00000000" w:rsidDel="00000000" w:rsidP="00000000" w:rsidRDefault="00000000" w:rsidRPr="00000000" w14:paraId="0000006B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Esses critérios asseguram que os monitores selecionados estejam preparados para desempenhar suas atividades com responsabilidade e dedicação.</w:t>
      </w:r>
    </w:p>
    <w:p w:rsidR="00000000" w:rsidDel="00000000" w:rsidP="00000000" w:rsidRDefault="00000000" w:rsidRPr="00000000" w14:paraId="0000006C">
      <w:pPr>
        <w:pStyle w:val="Heading1"/>
        <w:spacing w:after="240" w:before="240" w:line="360" w:lineRule="auto"/>
        <w:ind w:firstLine="720"/>
        <w:jc w:val="both"/>
        <w:rPr/>
      </w:pPr>
      <w:bookmarkStart w:colFirst="0" w:colLast="0" w:name="_heading=h.5iei8l4p8ohr" w:id="8"/>
      <w:bookmarkEnd w:id="8"/>
      <w:r w:rsidDel="00000000" w:rsidR="00000000" w:rsidRPr="00000000">
        <w:rPr>
          <w:rtl w:val="0"/>
        </w:rPr>
        <w:t xml:space="preserve">Processo de inscrição e aprovação</w:t>
      </w:r>
    </w:p>
    <w:p w:rsidR="00000000" w:rsidDel="00000000" w:rsidP="00000000" w:rsidRDefault="00000000" w:rsidRPr="00000000" w14:paraId="0000006D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seleção de monitores será realizada em duas etapas: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Inscrição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e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Aprovação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 Segue o detalhamento de cada etapa:</w:t>
      </w:r>
    </w:p>
    <w:p w:rsidR="00000000" w:rsidDel="00000000" w:rsidP="00000000" w:rsidRDefault="00000000" w:rsidRPr="00000000" w14:paraId="0000006E">
      <w:pPr>
        <w:spacing w:after="80" w:before="280" w:line="360" w:lineRule="auto"/>
        <w:ind w:left="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Etapa 1 – Inscrição</w:t>
        <w:br w:type="textWrapping"/>
        <w:t xml:space="preserve">Data: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10/02/2025 a 25/02/2025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Durante o período de inscrições, o estudante deve acessar a plataforma da SED, escolher o Edital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Aluno Monitor - 2025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e inscrever-se no componente curricular de sua escolha (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Língua Portuguesa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ou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Matemática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).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As inscrições realizadas ficarão disponíveis para visualização pela escola, organizadas por componente.</w:t>
      </w:r>
    </w:p>
    <w:p w:rsidR="00000000" w:rsidDel="00000000" w:rsidP="00000000" w:rsidRDefault="00000000" w:rsidRPr="00000000" w14:paraId="00000071">
      <w:pPr>
        <w:spacing w:after="80" w:before="280" w:line="360" w:lineRule="auto"/>
        <w:ind w:left="0"/>
        <w:jc w:val="both"/>
        <w:rPr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Etapa 2 – Aprovação</w:t>
        <w:br w:type="textWrapping"/>
        <w:t xml:space="preserve">Data: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26/02/2025 a 07/03/2025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21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Após o término do período de inscrições, os estudantes serão organizados em três categorias, com base nos seguintes critérios:</w:t>
        <w:br w:type="textWrapping"/>
      </w:r>
    </w:p>
    <w:p w:rsidR="00000000" w:rsidDel="00000000" w:rsidP="00000000" w:rsidRDefault="00000000" w:rsidRPr="00000000" w14:paraId="00000073">
      <w:pPr>
        <w:numPr>
          <w:ilvl w:val="0"/>
          <w:numId w:val="22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Pré-aprovado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74">
      <w:pPr>
        <w:numPr>
          <w:ilvl w:val="1"/>
          <w:numId w:val="22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Frequência geral maior ou igual a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85%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em 2024.</w:t>
      </w:r>
    </w:p>
    <w:p w:rsidR="00000000" w:rsidDel="00000000" w:rsidP="00000000" w:rsidRDefault="00000000" w:rsidRPr="00000000" w14:paraId="00000075">
      <w:pPr>
        <w:numPr>
          <w:ilvl w:val="1"/>
          <w:numId w:val="22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Nota SARESP 2024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entre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as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20% melhores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no componente, na série e na escola.</w:t>
        <w:br w:type="textWrapping"/>
      </w:r>
    </w:p>
    <w:p w:rsidR="00000000" w:rsidDel="00000000" w:rsidP="00000000" w:rsidRDefault="00000000" w:rsidRPr="00000000" w14:paraId="00000076">
      <w:pPr>
        <w:numPr>
          <w:ilvl w:val="0"/>
          <w:numId w:val="22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Desclassificado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77">
      <w:pPr>
        <w:numPr>
          <w:ilvl w:val="1"/>
          <w:numId w:val="22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Frequê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ab/>
        <w:t xml:space="preserve">ncia geral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menor que 85%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em 2024.</w:t>
      </w:r>
    </w:p>
    <w:p w:rsidR="00000000" w:rsidDel="00000000" w:rsidP="00000000" w:rsidRDefault="00000000" w:rsidRPr="00000000" w14:paraId="00000078">
      <w:pPr>
        <w:numPr>
          <w:ilvl w:val="1"/>
          <w:numId w:val="22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Nota SARESP 2024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fora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das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20% melhores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no componente, na série e na escola.</w:t>
        <w:br w:type="textWrapping"/>
      </w:r>
    </w:p>
    <w:p w:rsidR="00000000" w:rsidDel="00000000" w:rsidP="00000000" w:rsidRDefault="00000000" w:rsidRPr="00000000" w14:paraId="00000079">
      <w:pPr>
        <w:numPr>
          <w:ilvl w:val="0"/>
          <w:numId w:val="21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candidatos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pré-aprovados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pré-aprovados com boa nota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passam por uma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entrevista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conduzida pela Unidade Escolar, utilizando a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rubrica de avaliação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sugerida no edital (Anexo 3 do Edital).</w:t>
        <w:br w:type="textWrapping"/>
      </w:r>
    </w:p>
    <w:p w:rsidR="00000000" w:rsidDel="00000000" w:rsidP="00000000" w:rsidRDefault="00000000" w:rsidRPr="00000000" w14:paraId="0000007A">
      <w:pPr>
        <w:numPr>
          <w:ilvl w:val="0"/>
          <w:numId w:val="21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Por fim, a Unidade Escolar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aprova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os monitores com base nos seguintes critérios:</w:t>
        <w:br w:type="textWrapping"/>
      </w:r>
    </w:p>
    <w:p w:rsidR="00000000" w:rsidDel="00000000" w:rsidP="00000000" w:rsidRDefault="00000000" w:rsidRPr="00000000" w14:paraId="0000007B">
      <w:pPr>
        <w:numPr>
          <w:ilvl w:val="0"/>
          <w:numId w:val="15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Candidato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classificado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na primeira etapa;</w:t>
      </w:r>
    </w:p>
    <w:p w:rsidR="00000000" w:rsidDel="00000000" w:rsidP="00000000" w:rsidRDefault="00000000" w:rsidRPr="00000000" w14:paraId="0000007C">
      <w:pPr>
        <w:numPr>
          <w:ilvl w:val="0"/>
          <w:numId w:val="15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Avaliação obtida na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entrevista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15"/>
        </w:numPr>
        <w:spacing w:after="24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Quantidade de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vagas disponíveis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por componente e carga horária.</w:t>
      </w:r>
    </w:p>
    <w:p w:rsidR="00000000" w:rsidDel="00000000" w:rsidP="00000000" w:rsidRDefault="00000000" w:rsidRPr="00000000" w14:paraId="0000007E">
      <w:pPr>
        <w:spacing w:after="240" w:before="240" w:line="360" w:lineRule="auto"/>
        <w:ind w:firstLine="72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quantidade de vagas disponibilizadas por Unidade Escolar será divulgada no Anexo 1 do Edital do Projeto Aluno Monitor.</w:t>
      </w:r>
    </w:p>
    <w:p w:rsidR="00000000" w:rsidDel="00000000" w:rsidP="00000000" w:rsidRDefault="00000000" w:rsidRPr="00000000" w14:paraId="0000007F">
      <w:pPr>
        <w:pStyle w:val="Heading1"/>
        <w:ind w:left="0" w:firstLine="0"/>
        <w:rPr/>
      </w:pPr>
      <w:bookmarkStart w:colFirst="0" w:colLast="0" w:name="_heading=h.1o1rqlv2darp" w:id="9"/>
      <w:bookmarkEnd w:id="9"/>
      <w:r w:rsidDel="00000000" w:rsidR="00000000" w:rsidRPr="00000000">
        <w:rPr>
          <w:rtl w:val="0"/>
        </w:rPr>
        <w:t xml:space="preserve">5</w:t>
      </w:r>
      <w:r w:rsidDel="00000000" w:rsidR="00000000" w:rsidRPr="00000000">
        <w:rPr>
          <w:rtl w:val="0"/>
        </w:rPr>
        <w:t xml:space="preserve">. Carga horária</w:t>
      </w:r>
    </w:p>
    <w:p w:rsidR="00000000" w:rsidDel="00000000" w:rsidP="00000000" w:rsidRDefault="00000000" w:rsidRPr="00000000" w14:paraId="00000080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carga horária dos monitores é distribuída de forma a assegurar um equilíbrio entre ações formativas e atividades práticas de monitoria, organizada da seguinte maneira: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spacing w:after="240" w:before="240" w:line="360" w:lineRule="auto"/>
        <w:ind w:left="720" w:hanging="360"/>
        <w:jc w:val="both"/>
        <w:rPr>
          <w:rFonts w:ascii="Montserrat" w:cs="Montserrat" w:eastAsia="Montserrat" w:hAnsi="Montserrat"/>
          <w:b w:val="1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Monitoria (75% da carga horária total):</w:t>
      </w:r>
    </w:p>
    <w:p w:rsidR="00000000" w:rsidDel="00000000" w:rsidP="00000000" w:rsidRDefault="00000000" w:rsidRPr="00000000" w14:paraId="00000082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Essa parte corresponde às atividades diretamente ligadas ao apoio pedagógico aos estudantes monitorados. O tempo é utilizado para:</w:t>
      </w:r>
    </w:p>
    <w:p w:rsidR="00000000" w:rsidDel="00000000" w:rsidP="00000000" w:rsidRDefault="00000000" w:rsidRPr="00000000" w14:paraId="00000083">
      <w:pPr>
        <w:numPr>
          <w:ilvl w:val="0"/>
          <w:numId w:val="8"/>
        </w:numPr>
        <w:spacing w:before="240"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Apoiar os monitorados nas aulas de Orientação de Estudos 9º ano e 3ª série, especialmente em componentes de Língua Portuguesa e Matemática.</w:t>
      </w:r>
    </w:p>
    <w:p w:rsidR="00000000" w:rsidDel="00000000" w:rsidP="00000000" w:rsidRDefault="00000000" w:rsidRPr="00000000" w14:paraId="00000084">
      <w:pPr>
        <w:numPr>
          <w:ilvl w:val="0"/>
          <w:numId w:val="8"/>
        </w:numPr>
        <w:spacing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Promover o engajamento e o aprendizado por meio de metodologias colaborativas e interativas.</w:t>
      </w:r>
    </w:p>
    <w:p w:rsidR="00000000" w:rsidDel="00000000" w:rsidP="00000000" w:rsidRDefault="00000000" w:rsidRPr="00000000" w14:paraId="00000085">
      <w:pPr>
        <w:numPr>
          <w:ilvl w:val="0"/>
          <w:numId w:val="8"/>
        </w:numPr>
        <w:spacing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Atuar em sala de aula ou em atividades complementares, como grupos de estudos e plantão de dúvidas, conforme o planejamento e decisão da Unidade Escolar.</w:t>
        <w:br w:type="textWrapping"/>
      </w:r>
    </w:p>
    <w:p w:rsidR="00000000" w:rsidDel="00000000" w:rsidP="00000000" w:rsidRDefault="00000000" w:rsidRPr="00000000" w14:paraId="00000086">
      <w:pPr>
        <w:numPr>
          <w:ilvl w:val="0"/>
          <w:numId w:val="3"/>
        </w:numPr>
        <w:spacing w:after="240" w:line="360" w:lineRule="auto"/>
        <w:ind w:left="720" w:hanging="360"/>
        <w:jc w:val="both"/>
        <w:rPr>
          <w:rFonts w:ascii="Montserrat" w:cs="Montserrat" w:eastAsia="Montserrat" w:hAnsi="Montserrat"/>
          <w:b w:val="1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Ações de formação e estudos (25% da carga horária total):</w:t>
      </w:r>
    </w:p>
    <w:p w:rsidR="00000000" w:rsidDel="00000000" w:rsidP="00000000" w:rsidRDefault="00000000" w:rsidRPr="00000000" w14:paraId="00000087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Esta parte é dedicada ao desenvolvimento das competências do monitor e à preparação para suas atividades. Inclui:</w:t>
      </w:r>
    </w:p>
    <w:p w:rsidR="00000000" w:rsidDel="00000000" w:rsidP="00000000" w:rsidRDefault="00000000" w:rsidRPr="00000000" w14:paraId="00000088">
      <w:pPr>
        <w:numPr>
          <w:ilvl w:val="0"/>
          <w:numId w:val="9"/>
        </w:numPr>
        <w:spacing w:before="240"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Revisar e se preparar para as ações de Orientação de Estudos 9º ano e 3ª série do componente no qual atua.</w:t>
      </w:r>
    </w:p>
    <w:p w:rsidR="00000000" w:rsidDel="00000000" w:rsidP="00000000" w:rsidRDefault="00000000" w:rsidRPr="00000000" w14:paraId="00000089">
      <w:pPr>
        <w:numPr>
          <w:ilvl w:val="0"/>
          <w:numId w:val="9"/>
        </w:numPr>
        <w:spacing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Participar das atividades síncronas e assíncronas ofertadas pela Coordenadoria Pedagógica (COPED), com foco na capacitação contínua.</w:t>
      </w:r>
    </w:p>
    <w:p w:rsidR="00000000" w:rsidDel="00000000" w:rsidP="00000000" w:rsidRDefault="00000000" w:rsidRPr="00000000" w14:paraId="0000008A">
      <w:pPr>
        <w:numPr>
          <w:ilvl w:val="0"/>
          <w:numId w:val="9"/>
        </w:numPr>
        <w:spacing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Participar de reuniões com professores regentes e membros da equipe gestora responsáveis pelo Projeto na unidade escolar, para alinhamento de estratégias e acompanhamento das ações.</w:t>
      </w:r>
    </w:p>
    <w:p w:rsidR="00000000" w:rsidDel="00000000" w:rsidP="00000000" w:rsidRDefault="00000000" w:rsidRPr="00000000" w14:paraId="0000008B">
      <w:pPr>
        <w:numPr>
          <w:ilvl w:val="0"/>
          <w:numId w:val="9"/>
        </w:numPr>
        <w:spacing w:after="240"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Preencher, mensalmente, via SED, o relatório de atividades do Projeto.</w:t>
      </w:r>
    </w:p>
    <w:p w:rsidR="00000000" w:rsidDel="00000000" w:rsidP="00000000" w:rsidRDefault="00000000" w:rsidRPr="00000000" w14:paraId="0000008C">
      <w:pPr>
        <w:spacing w:after="240" w:before="240"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ab/>
        <w:t xml:space="preserve">Essa divisão de carga horária reflete a preocupação em garantir que os monitores não apenas apoiem os colegas, mas também desenvolvam habilidades e conhecimentos que contribuam para sua própria formação acadêmica e socioemocional. </w:t>
      </w:r>
    </w:p>
    <w:p w:rsidR="00000000" w:rsidDel="00000000" w:rsidP="00000000" w:rsidRDefault="00000000" w:rsidRPr="00000000" w14:paraId="0000008D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Excepcionalmente, para atividades realizadas no mesmo turno escolar, o monitor poderá ser dispensado de algumas aulas específicas, se de comum acordo entre o Monitor e a Unidade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Escolar.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Exemplos:</w:t>
      </w:r>
    </w:p>
    <w:p w:rsidR="00000000" w:rsidDel="00000000" w:rsidP="00000000" w:rsidRDefault="00000000" w:rsidRPr="00000000" w14:paraId="0000008E">
      <w:pPr>
        <w:numPr>
          <w:ilvl w:val="0"/>
          <w:numId w:val="13"/>
        </w:numPr>
        <w:spacing w:before="240"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Atuação na aula Orientação de Estudos do componente que é monitor para a sua própria turma;</w:t>
      </w:r>
    </w:p>
    <w:p w:rsidR="00000000" w:rsidDel="00000000" w:rsidP="00000000" w:rsidRDefault="00000000" w:rsidRPr="00000000" w14:paraId="0000008F">
      <w:pPr>
        <w:numPr>
          <w:ilvl w:val="0"/>
          <w:numId w:val="13"/>
        </w:numPr>
        <w:spacing w:line="360" w:lineRule="auto"/>
        <w:ind w:left="720" w:hanging="360"/>
        <w:rPr>
          <w:b w:val="0"/>
          <w:color w:val="000000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Orientação de Estudos do componente que não é monitor;</w:t>
      </w:r>
    </w:p>
    <w:p w:rsidR="00000000" w:rsidDel="00000000" w:rsidP="00000000" w:rsidRDefault="00000000" w:rsidRPr="00000000" w14:paraId="00000090">
      <w:pPr>
        <w:numPr>
          <w:ilvl w:val="0"/>
          <w:numId w:val="13"/>
        </w:numPr>
        <w:spacing w:after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Eletiva;</w:t>
      </w:r>
    </w:p>
    <w:p w:rsidR="00000000" w:rsidDel="00000000" w:rsidP="00000000" w:rsidRDefault="00000000" w:rsidRPr="00000000" w14:paraId="00000091">
      <w:pPr>
        <w:numPr>
          <w:ilvl w:val="0"/>
          <w:numId w:val="13"/>
        </w:numPr>
        <w:spacing w:after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Educação em Movimento e Artes (EMA);</w:t>
      </w:r>
    </w:p>
    <w:p w:rsidR="00000000" w:rsidDel="00000000" w:rsidP="00000000" w:rsidRDefault="00000000" w:rsidRPr="00000000" w14:paraId="00000092">
      <w:pPr>
        <w:numPr>
          <w:ilvl w:val="0"/>
          <w:numId w:val="13"/>
        </w:numPr>
        <w:spacing w:after="24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Projeto de Vida.</w:t>
      </w:r>
    </w:p>
    <w:p w:rsidR="00000000" w:rsidDel="00000000" w:rsidP="00000000" w:rsidRDefault="00000000" w:rsidRPr="00000000" w14:paraId="00000093">
      <w:pPr>
        <w:spacing w:after="240" w:line="360" w:lineRule="auto"/>
        <w:ind w:left="0" w:firstLine="720"/>
        <w:jc w:val="both"/>
        <w:rPr/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Resolução destaca que “no caso excepcional de atuação durante o turno, o monitor preferencialmente deverá atuar durante as aulas dos componentes que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não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fazem parte da Formação Geral Básica (FGB).”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Style w:val="Heading1"/>
        <w:rPr/>
      </w:pPr>
      <w:bookmarkStart w:colFirst="0" w:colLast="0" w:name="_heading=h.wry01zvt1ww1" w:id="10"/>
      <w:bookmarkEnd w:id="10"/>
      <w:r w:rsidDel="00000000" w:rsidR="00000000" w:rsidRPr="00000000">
        <w:rPr>
          <w:rtl w:val="0"/>
        </w:rPr>
        <w:t xml:space="preserve">6. Das modalidades de atuação do Aluno Monitor </w:t>
      </w:r>
    </w:p>
    <w:p w:rsidR="00000000" w:rsidDel="00000000" w:rsidP="00000000" w:rsidRDefault="00000000" w:rsidRPr="00000000" w14:paraId="00000095">
      <w:pPr>
        <w:widowControl w:val="1"/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monitores deverão cumprir uma carga horária de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8 horas ou 16 horas semanais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, conforme a modalidade da bolsa. A carga horária será influenciada pelos segmentos oferecidos na Unidade Escolar(Ensino Médio e Ensino Fundamental Anos Finais ou apenas Ensino Médio), e pela sua jornada (Parcial, PEI 7hs ou PEI 9hs). Observe a composição de cada tipo de Unidade Escolar abaixo:</w:t>
      </w:r>
    </w:p>
    <w:p w:rsidR="00000000" w:rsidDel="00000000" w:rsidP="00000000" w:rsidRDefault="00000000" w:rsidRPr="00000000" w14:paraId="00000096">
      <w:pPr>
        <w:pStyle w:val="Heading1"/>
        <w:widowControl w:val="1"/>
        <w:spacing w:after="240" w:before="240" w:line="360" w:lineRule="auto"/>
        <w:jc w:val="both"/>
        <w:rPr>
          <w:sz w:val="28"/>
          <w:szCs w:val="28"/>
        </w:rPr>
      </w:pPr>
      <w:bookmarkStart w:colFirst="0" w:colLast="0" w:name="_heading=h.4gzy1a6yj258" w:id="11"/>
      <w:bookmarkEnd w:id="11"/>
      <w:r w:rsidDel="00000000" w:rsidR="00000000" w:rsidRPr="00000000">
        <w:rPr>
          <w:sz w:val="28"/>
          <w:szCs w:val="28"/>
          <w:rtl w:val="0"/>
        </w:rPr>
        <w:t xml:space="preserve">6.1 </w:t>
      </w:r>
      <w:r w:rsidDel="00000000" w:rsidR="00000000" w:rsidRPr="00000000">
        <w:rPr>
          <w:sz w:val="28"/>
          <w:szCs w:val="28"/>
          <w:rtl w:val="0"/>
        </w:rPr>
        <w:t xml:space="preserve">Escolas de jornada Parcial</w:t>
      </w:r>
    </w:p>
    <w:p w:rsidR="00000000" w:rsidDel="00000000" w:rsidP="00000000" w:rsidRDefault="00000000" w:rsidRPr="00000000" w14:paraId="00000097">
      <w:pPr>
        <w:widowControl w:val="1"/>
        <w:spacing w:after="240" w:before="240"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Escolas que ofertam os segmentos Ensino Fundamental – Anos Finais e Ensino Médio</w:t>
        <w:br w:type="textWrapping"/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Carga horária total: 16 horas de monitoria</w:t>
      </w:r>
    </w:p>
    <w:p w:rsidR="00000000" w:rsidDel="00000000" w:rsidP="00000000" w:rsidRDefault="00000000" w:rsidRPr="00000000" w14:paraId="00000098">
      <w:pPr>
        <w:widowControl w:val="1"/>
        <w:numPr>
          <w:ilvl w:val="0"/>
          <w:numId w:val="23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Estudantes atendidos: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no mínimo 20 monitorados.</w:t>
      </w:r>
    </w:p>
    <w:p w:rsidR="00000000" w:rsidDel="00000000" w:rsidP="00000000" w:rsidRDefault="00000000" w:rsidRPr="00000000" w14:paraId="00000099">
      <w:pPr>
        <w:widowControl w:val="1"/>
        <w:numPr>
          <w:ilvl w:val="0"/>
          <w:numId w:val="23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Composição da carga horária:</w:t>
      </w:r>
    </w:p>
    <w:p w:rsidR="00000000" w:rsidDel="00000000" w:rsidP="00000000" w:rsidRDefault="00000000" w:rsidRPr="00000000" w14:paraId="0000009A">
      <w:pPr>
        <w:widowControl w:val="1"/>
        <w:numPr>
          <w:ilvl w:val="1"/>
          <w:numId w:val="23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4 horas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dedicadas ao componente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Orientação de Estudos 9º ano e 3ª série no seu turno para 3ª série do EM.</w:t>
      </w:r>
    </w:p>
    <w:p w:rsidR="00000000" w:rsidDel="00000000" w:rsidP="00000000" w:rsidRDefault="00000000" w:rsidRPr="00000000" w14:paraId="0000009B">
      <w:pPr>
        <w:widowControl w:val="1"/>
        <w:numPr>
          <w:ilvl w:val="1"/>
          <w:numId w:val="23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No mínimo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8 horas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dedicadas no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contraturno ao componente de Orientação de Estudos 9º ano e 3ª série para o 9º ano EFAF.</w:t>
      </w:r>
    </w:p>
    <w:p w:rsidR="00000000" w:rsidDel="00000000" w:rsidP="00000000" w:rsidRDefault="00000000" w:rsidRPr="00000000" w14:paraId="0000009C">
      <w:pPr>
        <w:widowControl w:val="1"/>
        <w:numPr>
          <w:ilvl w:val="1"/>
          <w:numId w:val="23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4 horas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voltadas para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formação e estudos.</w:t>
      </w:r>
    </w:p>
    <w:p w:rsidR="00000000" w:rsidDel="00000000" w:rsidP="00000000" w:rsidRDefault="00000000" w:rsidRPr="00000000" w14:paraId="0000009D">
      <w:pPr>
        <w:widowControl w:val="1"/>
        <w:numPr>
          <w:ilvl w:val="1"/>
          <w:numId w:val="23"/>
        </w:numPr>
        <w:spacing w:after="24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este cenário, a carga horária totaliza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u w:val="single"/>
          <w:rtl w:val="0"/>
        </w:rPr>
        <w:t xml:space="preserve">16 horas semanais.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No entanto, a Unidade Escolar tem autonomia para utilizar outros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formatos de atividades de acordo com a sua logística ou prioridade pedagógica.</w:t>
      </w:r>
    </w:p>
    <w:p w:rsidR="00000000" w:rsidDel="00000000" w:rsidP="00000000" w:rsidRDefault="00000000" w:rsidRPr="00000000" w14:paraId="0000009E">
      <w:pPr>
        <w:widowControl w:val="1"/>
        <w:spacing w:after="240" w:before="240" w:line="360" w:lineRule="auto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Escolas que ofertam apenas Ensino Médio</w:t>
        <w:br w:type="textWrapping"/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Carga horária total: 8 horas de monitoria</w:t>
      </w:r>
    </w:p>
    <w:p w:rsidR="00000000" w:rsidDel="00000000" w:rsidP="00000000" w:rsidRDefault="00000000" w:rsidRPr="00000000" w14:paraId="0000009F">
      <w:pPr>
        <w:widowControl w:val="1"/>
        <w:numPr>
          <w:ilvl w:val="0"/>
          <w:numId w:val="1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Estudantes atendidos: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no mínimo 10 monitorados.</w:t>
      </w:r>
    </w:p>
    <w:p w:rsidR="00000000" w:rsidDel="00000000" w:rsidP="00000000" w:rsidRDefault="00000000" w:rsidRPr="00000000" w14:paraId="000000A0">
      <w:pPr>
        <w:widowControl w:val="1"/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Composição da carga horária:</w:t>
      </w:r>
    </w:p>
    <w:p w:rsidR="00000000" w:rsidDel="00000000" w:rsidP="00000000" w:rsidRDefault="00000000" w:rsidRPr="00000000" w14:paraId="000000A1">
      <w:pPr>
        <w:widowControl w:val="1"/>
        <w:numPr>
          <w:ilvl w:val="1"/>
          <w:numId w:val="1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Até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4 horas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dedicadas ao componente Orientação de Estudos 9º ano e 3ª série no seu turno para 3ª série do 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1"/>
        <w:numPr>
          <w:ilvl w:val="1"/>
          <w:numId w:val="1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2 horas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voltadas para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formação e estudos</w:t>
      </w:r>
    </w:p>
    <w:p w:rsidR="00000000" w:rsidDel="00000000" w:rsidP="00000000" w:rsidRDefault="00000000" w:rsidRPr="00000000" w14:paraId="000000A3">
      <w:pPr>
        <w:widowControl w:val="1"/>
        <w:numPr>
          <w:ilvl w:val="1"/>
          <w:numId w:val="1"/>
        </w:numPr>
        <w:spacing w:after="240" w:before="0" w:beforeAutospacing="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este cenário, a carga horária totaliza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u w:val="single"/>
          <w:rtl w:val="0"/>
        </w:rPr>
        <w:t xml:space="preserve">6 horas semanais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 Portanto, a Unidade Escolar precisará complementar a carga horária com outros formatos de atividades, podendo alterar a sugestão acima, de acordo com a sua logística ou prioridade pedagógica.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Style w:val="Heading1"/>
        <w:widowControl w:val="1"/>
        <w:spacing w:after="240" w:before="240" w:line="360" w:lineRule="auto"/>
        <w:rPr>
          <w:sz w:val="28"/>
          <w:szCs w:val="28"/>
        </w:rPr>
      </w:pPr>
      <w:bookmarkStart w:colFirst="0" w:colLast="0" w:name="_heading=h.ivehp8mvno1y" w:id="12"/>
      <w:bookmarkEnd w:id="12"/>
      <w:r w:rsidDel="00000000" w:rsidR="00000000" w:rsidRPr="00000000">
        <w:rPr>
          <w:sz w:val="28"/>
          <w:szCs w:val="28"/>
          <w:rtl w:val="0"/>
        </w:rPr>
        <w:t xml:space="preserve">6.2 </w:t>
      </w:r>
      <w:r w:rsidDel="00000000" w:rsidR="00000000" w:rsidRPr="00000000">
        <w:rPr>
          <w:sz w:val="28"/>
          <w:szCs w:val="28"/>
          <w:rtl w:val="0"/>
        </w:rPr>
        <w:t xml:space="preserve">Escolas de Programa de Tempo Integral (PEI)</w:t>
      </w:r>
    </w:p>
    <w:p w:rsidR="00000000" w:rsidDel="00000000" w:rsidP="00000000" w:rsidRDefault="00000000" w:rsidRPr="00000000" w14:paraId="000000A5">
      <w:pPr>
        <w:widowControl w:val="1"/>
        <w:spacing w:after="240" w:before="240" w:line="360" w:lineRule="auto"/>
        <w:ind w:left="0" w:firstLine="0"/>
        <w:jc w:val="both"/>
        <w:rPr>
          <w:rFonts w:ascii="Montserrat" w:cs="Montserrat" w:eastAsia="Montserrat" w:hAnsi="Montserrat"/>
          <w:b w:val="1"/>
          <w:color w:val="0f0f0f"/>
          <w:sz w:val="20"/>
          <w:szCs w:val="20"/>
          <w:u w:val="single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u w:val="single"/>
          <w:rtl w:val="0"/>
        </w:rPr>
        <w:t xml:space="preserve">Programa de Ensino Integral (PEI) – 7 horas</w:t>
      </w:r>
    </w:p>
    <w:p w:rsidR="00000000" w:rsidDel="00000000" w:rsidP="00000000" w:rsidRDefault="00000000" w:rsidRPr="00000000" w14:paraId="000000A6">
      <w:pPr>
        <w:widowControl w:val="1"/>
        <w:spacing w:after="240" w:before="240" w:line="360" w:lineRule="auto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Escolas que ofertam Ensino Fundamental – Anos Finais e Ensino Médio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u w:val="single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Carga horária total: 16 horas de monitoria</w:t>
      </w:r>
    </w:p>
    <w:p w:rsidR="00000000" w:rsidDel="00000000" w:rsidP="00000000" w:rsidRDefault="00000000" w:rsidRPr="00000000" w14:paraId="000000A7">
      <w:pPr>
        <w:widowControl w:val="1"/>
        <w:numPr>
          <w:ilvl w:val="0"/>
          <w:numId w:val="17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Estudantes atendidos: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mínimo 20 monitorados.</w:t>
      </w:r>
    </w:p>
    <w:p w:rsidR="00000000" w:rsidDel="00000000" w:rsidP="00000000" w:rsidRDefault="00000000" w:rsidRPr="00000000" w14:paraId="000000A8">
      <w:pPr>
        <w:widowControl w:val="1"/>
        <w:numPr>
          <w:ilvl w:val="0"/>
          <w:numId w:val="17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b w:val="1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Composição da carga horária:</w:t>
      </w:r>
    </w:p>
    <w:p w:rsidR="00000000" w:rsidDel="00000000" w:rsidP="00000000" w:rsidRDefault="00000000" w:rsidRPr="00000000" w14:paraId="000000A9">
      <w:pPr>
        <w:widowControl w:val="1"/>
        <w:numPr>
          <w:ilvl w:val="1"/>
          <w:numId w:val="17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Até 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6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dedicadas 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ao componente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Orientação de Estudos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9º ano e 3ª série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seu turno para 3ª série do 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widowControl w:val="1"/>
        <w:numPr>
          <w:ilvl w:val="1"/>
          <w:numId w:val="17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No mínimo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 6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destinadas no contraturno ao componente de Orientação de Estudos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9º ano e 3ª série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para o 9º ano EFAF.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widowControl w:val="1"/>
        <w:numPr>
          <w:ilvl w:val="1"/>
          <w:numId w:val="17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4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voltadas para 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formação e estudos.</w:t>
      </w:r>
    </w:p>
    <w:p w:rsidR="00000000" w:rsidDel="00000000" w:rsidP="00000000" w:rsidRDefault="00000000" w:rsidRPr="00000000" w14:paraId="000000AC">
      <w:pPr>
        <w:widowControl w:val="1"/>
        <w:numPr>
          <w:ilvl w:val="1"/>
          <w:numId w:val="17"/>
        </w:numPr>
        <w:spacing w:after="24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Para este cenário, a carga horária totaliza 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u w:val="single"/>
          <w:rtl w:val="0"/>
        </w:rPr>
        <w:t xml:space="preserve">16 horas semanais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. No entanto, a Unidade Escolar tem autonomia para utilizar outros formatos de atividades de acordo com a sua logística ou prioridade pedagógica.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widowControl w:val="1"/>
        <w:spacing w:after="240" w:before="240" w:line="360" w:lineRule="auto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Escolas que ofertam apenas Ensino Médio (EM)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Carga horária total: 8 horas de monitoria</w:t>
      </w:r>
    </w:p>
    <w:p w:rsidR="00000000" w:rsidDel="00000000" w:rsidP="00000000" w:rsidRDefault="00000000" w:rsidRPr="00000000" w14:paraId="000000AE">
      <w:pPr>
        <w:widowControl w:val="1"/>
        <w:numPr>
          <w:ilvl w:val="0"/>
          <w:numId w:val="18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Estudantes atendidos: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mínimo 10 monitorados.</w:t>
      </w:r>
    </w:p>
    <w:p w:rsidR="00000000" w:rsidDel="00000000" w:rsidP="00000000" w:rsidRDefault="00000000" w:rsidRPr="00000000" w14:paraId="000000AF">
      <w:pPr>
        <w:widowControl w:val="1"/>
        <w:numPr>
          <w:ilvl w:val="0"/>
          <w:numId w:val="18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Composição da carga horária:</w:t>
      </w:r>
    </w:p>
    <w:p w:rsidR="00000000" w:rsidDel="00000000" w:rsidP="00000000" w:rsidRDefault="00000000" w:rsidRPr="00000000" w14:paraId="000000B0">
      <w:pPr>
        <w:widowControl w:val="1"/>
        <w:numPr>
          <w:ilvl w:val="1"/>
          <w:numId w:val="18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Até 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6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dedicadas ao componente Orientação de Estudos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9º ano e 3ª série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seu turno para 3ª série do EM.</w:t>
      </w:r>
    </w:p>
    <w:p w:rsidR="00000000" w:rsidDel="00000000" w:rsidP="00000000" w:rsidRDefault="00000000" w:rsidRPr="00000000" w14:paraId="000000B1">
      <w:pPr>
        <w:widowControl w:val="1"/>
        <w:numPr>
          <w:ilvl w:val="1"/>
          <w:numId w:val="18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2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voltadas para formação e estudos.</w:t>
      </w:r>
    </w:p>
    <w:p w:rsidR="00000000" w:rsidDel="00000000" w:rsidP="00000000" w:rsidRDefault="00000000" w:rsidRPr="00000000" w14:paraId="000000B2">
      <w:pPr>
        <w:widowControl w:val="1"/>
        <w:numPr>
          <w:ilvl w:val="1"/>
          <w:numId w:val="18"/>
        </w:numPr>
        <w:spacing w:after="24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Para este cenário, a carga horária totaliza 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u w:val="single"/>
          <w:rtl w:val="0"/>
        </w:rPr>
        <w:t xml:space="preserve">8 horas semanais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. No entanto, a Unidade Escolar tem autonomia para utilizar outros formatos de atividades de acordo com a sua logística ou prioridade pedagógica.</w:t>
      </w:r>
    </w:p>
    <w:p w:rsidR="00000000" w:rsidDel="00000000" w:rsidP="00000000" w:rsidRDefault="00000000" w:rsidRPr="00000000" w14:paraId="000000B3">
      <w:pPr>
        <w:widowControl w:val="1"/>
        <w:spacing w:after="240" w:before="240" w:line="360" w:lineRule="auto"/>
        <w:jc w:val="both"/>
        <w:rPr>
          <w:rFonts w:ascii="Montserrat" w:cs="Montserrat" w:eastAsia="Montserrat" w:hAnsi="Montserrat"/>
          <w:b w:val="1"/>
          <w:color w:val="0f0f0f"/>
          <w:sz w:val="20"/>
          <w:szCs w:val="20"/>
          <w:u w:val="single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u w:val="single"/>
          <w:rtl w:val="0"/>
        </w:rPr>
        <w:t xml:space="preserve">Programa de Ensino Integral (PEI) – 9 horas</w:t>
      </w:r>
    </w:p>
    <w:p w:rsidR="00000000" w:rsidDel="00000000" w:rsidP="00000000" w:rsidRDefault="00000000" w:rsidRPr="00000000" w14:paraId="000000B4">
      <w:pPr>
        <w:widowControl w:val="1"/>
        <w:spacing w:after="240" w:before="240" w:line="360" w:lineRule="auto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Escolas que ofertam Ensino Fundamental – Anos Finais e Ensino Médio simultaneamente, ou somente Ensino Médio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u w:val="single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Carga horária total: 8 horas de monitoria</w:t>
      </w:r>
    </w:p>
    <w:p w:rsidR="00000000" w:rsidDel="00000000" w:rsidP="00000000" w:rsidRDefault="00000000" w:rsidRPr="00000000" w14:paraId="000000B5">
      <w:pPr>
        <w:widowControl w:val="1"/>
        <w:numPr>
          <w:ilvl w:val="0"/>
          <w:numId w:val="5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Estudantes atendidos: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mínimo 10 monitorados.</w:t>
      </w:r>
    </w:p>
    <w:p w:rsidR="00000000" w:rsidDel="00000000" w:rsidP="00000000" w:rsidRDefault="00000000" w:rsidRPr="00000000" w14:paraId="000000B6">
      <w:pPr>
        <w:widowControl w:val="1"/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b w:val="1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Composição da carga horária:</w:t>
      </w:r>
    </w:p>
    <w:p w:rsidR="00000000" w:rsidDel="00000000" w:rsidP="00000000" w:rsidRDefault="00000000" w:rsidRPr="00000000" w14:paraId="000000B7">
      <w:pPr>
        <w:widowControl w:val="1"/>
        <w:numPr>
          <w:ilvl w:val="1"/>
          <w:numId w:val="5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Até 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6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dedicadas ao componente Orientação de Estudos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9º ano e 3ª série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seu turno para 3ª série do EM.</w:t>
      </w:r>
    </w:p>
    <w:p w:rsidR="00000000" w:rsidDel="00000000" w:rsidP="00000000" w:rsidRDefault="00000000" w:rsidRPr="00000000" w14:paraId="000000B8">
      <w:pPr>
        <w:widowControl w:val="1"/>
        <w:numPr>
          <w:ilvl w:val="1"/>
          <w:numId w:val="5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2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voltadas para formações e estudos.</w:t>
      </w:r>
    </w:p>
    <w:p w:rsidR="00000000" w:rsidDel="00000000" w:rsidP="00000000" w:rsidRDefault="00000000" w:rsidRPr="00000000" w14:paraId="000000B9">
      <w:pPr>
        <w:widowControl w:val="1"/>
        <w:numPr>
          <w:ilvl w:val="1"/>
          <w:numId w:val="5"/>
        </w:numPr>
        <w:spacing w:after="24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Para este cenário, a carga horária totaliza 8 horas semanais. No entanto, a Unidade Escolar tem autonomia para utilizar outros formatos de atividades de acordo com a sua logística ou prioridade pedagógica.</w:t>
      </w:r>
    </w:p>
    <w:p w:rsidR="00000000" w:rsidDel="00000000" w:rsidP="00000000" w:rsidRDefault="00000000" w:rsidRPr="00000000" w14:paraId="000000BA">
      <w:pPr>
        <w:pStyle w:val="Heading1"/>
        <w:widowControl w:val="1"/>
        <w:spacing w:after="240" w:before="240" w:line="360" w:lineRule="auto"/>
        <w:rPr>
          <w:sz w:val="28"/>
          <w:szCs w:val="28"/>
        </w:rPr>
      </w:pPr>
      <w:bookmarkStart w:colFirst="0" w:colLast="0" w:name="_heading=h.cht2tnx56gs" w:id="13"/>
      <w:bookmarkEnd w:id="13"/>
      <w:r w:rsidDel="00000000" w:rsidR="00000000" w:rsidRPr="00000000">
        <w:rPr>
          <w:sz w:val="28"/>
          <w:szCs w:val="28"/>
          <w:rtl w:val="0"/>
        </w:rPr>
        <w:t xml:space="preserve">6.3 </w:t>
      </w:r>
      <w:r w:rsidDel="00000000" w:rsidR="00000000" w:rsidRPr="00000000">
        <w:rPr>
          <w:sz w:val="28"/>
          <w:szCs w:val="28"/>
          <w:rtl w:val="0"/>
        </w:rPr>
        <w:t xml:space="preserve">Escolas de Ensino Médio no período noturno</w:t>
      </w:r>
    </w:p>
    <w:p w:rsidR="00000000" w:rsidDel="00000000" w:rsidP="00000000" w:rsidRDefault="00000000" w:rsidRPr="00000000" w14:paraId="000000BB">
      <w:pPr>
        <w:widowControl w:val="1"/>
        <w:spacing w:after="240" w:before="240" w:line="360" w:lineRule="auto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Escolas que ofertam 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Ensino Fundamental – Anos Finais e Ensino Médio simultaneamente, ou somente Ensino Médio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Carga horária total: 8 horas de monitoria</w:t>
      </w:r>
    </w:p>
    <w:p w:rsidR="00000000" w:rsidDel="00000000" w:rsidP="00000000" w:rsidRDefault="00000000" w:rsidRPr="00000000" w14:paraId="000000BC">
      <w:pPr>
        <w:widowControl w:val="1"/>
        <w:numPr>
          <w:ilvl w:val="0"/>
          <w:numId w:val="24"/>
        </w:numPr>
        <w:spacing w:after="0" w:afterAutospacing="0" w:before="240" w:line="360" w:lineRule="auto"/>
        <w:ind w:left="72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Estudantes atendidos: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no mínimo 10 monitorados.</w:t>
      </w:r>
    </w:p>
    <w:p w:rsidR="00000000" w:rsidDel="00000000" w:rsidP="00000000" w:rsidRDefault="00000000" w:rsidRPr="00000000" w14:paraId="000000BD">
      <w:pPr>
        <w:widowControl w:val="1"/>
        <w:numPr>
          <w:ilvl w:val="0"/>
          <w:numId w:val="24"/>
        </w:numPr>
        <w:spacing w:after="0" w:afterAutospacing="0" w:before="0" w:beforeAutospacing="0" w:line="360" w:lineRule="auto"/>
        <w:ind w:left="720" w:hanging="360"/>
        <w:rPr>
          <w:rFonts w:ascii="Montserrat" w:cs="Montserrat" w:eastAsia="Montserrat" w:hAnsi="Montserrat"/>
          <w:b w:val="1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Composição da carga horária:</w:t>
      </w:r>
    </w:p>
    <w:p w:rsidR="00000000" w:rsidDel="00000000" w:rsidP="00000000" w:rsidRDefault="00000000" w:rsidRPr="00000000" w14:paraId="000000BE">
      <w:pPr>
        <w:widowControl w:val="1"/>
        <w:numPr>
          <w:ilvl w:val="1"/>
          <w:numId w:val="24"/>
        </w:numPr>
        <w:spacing w:after="0" w:afterAutospacing="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Até </w:t>
      </w: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6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de monitoria, com o formato a ser definido em conjunto com o coordenador no momento da seleção.</w:t>
      </w:r>
    </w:p>
    <w:p w:rsidR="00000000" w:rsidDel="00000000" w:rsidP="00000000" w:rsidRDefault="00000000" w:rsidRPr="00000000" w14:paraId="000000BF">
      <w:pPr>
        <w:widowControl w:val="1"/>
        <w:numPr>
          <w:ilvl w:val="1"/>
          <w:numId w:val="24"/>
        </w:numPr>
        <w:spacing w:after="240" w:before="0" w:beforeAutospacing="0" w:line="360" w:lineRule="auto"/>
        <w:ind w:left="1440" w:hanging="360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2 horas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voltadas para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 formação e estudos.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1"/>
        <w:rPr>
          <w:sz w:val="28"/>
          <w:szCs w:val="28"/>
        </w:rPr>
      </w:pPr>
      <w:bookmarkStart w:colFirst="0" w:colLast="0" w:name="_heading=h.4s469axw356e" w:id="14"/>
      <w:bookmarkEnd w:id="14"/>
      <w:r w:rsidDel="00000000" w:rsidR="00000000" w:rsidRPr="00000000">
        <w:rPr>
          <w:sz w:val="28"/>
          <w:szCs w:val="28"/>
          <w:rtl w:val="0"/>
        </w:rPr>
        <w:t xml:space="preserve">7. Da alocação do Aluno Monitor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widowControl w:val="1"/>
        <w:spacing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Unidade Escolar é responsável pela atribuição do(a) monitor(a) às turmas, modalidades de atuação e vínculo com os monitorados. A atribuição deve ser feita de forma a maximizar o número de turmas atendidas do 9º ano do Ensino Fundamental e 3ª série do Ensino Médio.</w:t>
      </w:r>
    </w:p>
    <w:p w:rsidR="00000000" w:rsidDel="00000000" w:rsidP="00000000" w:rsidRDefault="00000000" w:rsidRPr="00000000" w14:paraId="000000C3">
      <w:pPr>
        <w:widowControl w:val="1"/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descrição a seguir apresenta os critérios e as etapas para a alocação de monitores nas escolas, considerando as demandas pedagógicas e a otimização do apoio aos estudantes. </w:t>
      </w:r>
    </w:p>
    <w:p w:rsidR="00000000" w:rsidDel="00000000" w:rsidP="00000000" w:rsidRDefault="00000000" w:rsidRPr="00000000" w14:paraId="000000C4">
      <w:pPr>
        <w:numPr>
          <w:ilvl w:val="0"/>
          <w:numId w:val="20"/>
        </w:numPr>
        <w:spacing w:before="240"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Inicialmente, o(a) monitor(a) deve alocado(a) em turmas do 3ª série do Ensino Médio (EM), observando os seguintes limites de carga horária:</w:t>
      </w:r>
    </w:p>
    <w:p w:rsidR="00000000" w:rsidDel="00000000" w:rsidP="00000000" w:rsidRDefault="00000000" w:rsidRPr="00000000" w14:paraId="000000C5">
      <w:pPr>
        <w:numPr>
          <w:ilvl w:val="1"/>
          <w:numId w:val="10"/>
        </w:numPr>
        <w:spacing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Máximo de 4 aulas no mesmo turno para a modalidade Parcial;</w:t>
      </w:r>
    </w:p>
    <w:p w:rsidR="00000000" w:rsidDel="00000000" w:rsidP="00000000" w:rsidRDefault="00000000" w:rsidRPr="00000000" w14:paraId="000000C6">
      <w:pPr>
        <w:numPr>
          <w:ilvl w:val="1"/>
          <w:numId w:val="10"/>
        </w:numPr>
        <w:spacing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Máximo de 6 aulas no mesmo turno para as modalidades PEI 7h e PEI 9h.</w:t>
      </w:r>
    </w:p>
    <w:p w:rsidR="00000000" w:rsidDel="00000000" w:rsidP="00000000" w:rsidRDefault="00000000" w:rsidRPr="00000000" w14:paraId="000000C7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Caso ainda haja carga horária disponível, o(a) monitor(a) é alocado(a) em turmas do 9º ano do Ensino Fundamental (EF).</w:t>
      </w:r>
    </w:p>
    <w:p w:rsidR="00000000" w:rsidDel="00000000" w:rsidP="00000000" w:rsidRDefault="00000000" w:rsidRPr="00000000" w14:paraId="000000C8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prioridade é a atuação como apoio do(a) professor(a) regente nas aulas de Orientação de Estudo do componente curricular no qual o(a) monitor(a) atua.</w:t>
      </w:r>
    </w:p>
    <w:p w:rsidR="00000000" w:rsidDel="00000000" w:rsidP="00000000" w:rsidRDefault="00000000" w:rsidRPr="00000000" w14:paraId="000000C9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Se não for possível, prioriza-se a atuação como auxiliar nas aulas de Formação Geral Básica (FGB) relacionadas ao componente curricular do(a) monitor(a).</w:t>
      </w:r>
    </w:p>
    <w:p w:rsidR="00000000" w:rsidDel="00000000" w:rsidP="00000000" w:rsidRDefault="00000000" w:rsidRPr="00000000" w14:paraId="000000CA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É permitida a atuação de mais de um monitor em uma turma no mesmo componente.</w:t>
      </w:r>
    </w:p>
    <w:p w:rsidR="00000000" w:rsidDel="00000000" w:rsidP="00000000" w:rsidRDefault="00000000" w:rsidRPr="00000000" w14:paraId="000000CB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Caso essas opções não sejam viáveis, outras formas de atuação poderão ser definidas em conjunto pela Unidade Escolar pelo(a) monitor(a), incluindo:</w:t>
      </w:r>
    </w:p>
    <w:p w:rsidR="00000000" w:rsidDel="00000000" w:rsidP="00000000" w:rsidRDefault="00000000" w:rsidRPr="00000000" w14:paraId="000000CC">
      <w:pPr>
        <w:numPr>
          <w:ilvl w:val="1"/>
          <w:numId w:val="10"/>
        </w:numPr>
        <w:spacing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Plantão de dúvidas;</w:t>
      </w:r>
    </w:p>
    <w:p w:rsidR="00000000" w:rsidDel="00000000" w:rsidP="00000000" w:rsidRDefault="00000000" w:rsidRPr="00000000" w14:paraId="000000CD">
      <w:pPr>
        <w:numPr>
          <w:ilvl w:val="1"/>
          <w:numId w:val="10"/>
        </w:numPr>
        <w:spacing w:line="360" w:lineRule="auto"/>
        <w:ind w:left="144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Correção de atividades;</w:t>
      </w:r>
    </w:p>
    <w:p w:rsidR="00000000" w:rsidDel="00000000" w:rsidP="00000000" w:rsidRDefault="00000000" w:rsidRPr="00000000" w14:paraId="000000CE">
      <w:pPr>
        <w:numPr>
          <w:ilvl w:val="1"/>
          <w:numId w:val="10"/>
        </w:numPr>
        <w:spacing w:after="240" w:line="360" w:lineRule="auto"/>
        <w:ind w:left="1440" w:hanging="360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Clube de estudos, entre outros.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Style w:val="Heading1"/>
        <w:ind w:firstLine="720"/>
        <w:rPr>
          <w:rFonts w:ascii="Montserrat" w:cs="Montserrat" w:eastAsia="Montserrat" w:hAnsi="Montserrat"/>
          <w:sz w:val="20"/>
          <w:szCs w:val="20"/>
        </w:rPr>
      </w:pPr>
      <w:bookmarkStart w:colFirst="0" w:colLast="0" w:name="_heading=h.6mrsjcpxlm3f" w:id="15"/>
      <w:bookmarkEnd w:id="15"/>
      <w:r w:rsidDel="00000000" w:rsidR="00000000" w:rsidRPr="00000000">
        <w:rPr>
          <w:rtl w:val="0"/>
        </w:rPr>
        <w:t xml:space="preserve">8. Da atuação do Aluno Monitor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As atividades destinadas aos monitores têm como objetivo apoiar colegas prioritariamente do 9º ano do Ensino Fundamental – Anos Finais e da 3ª série do Ensino Médio que apresentam dificuldades nos componentes de Língua Portuguesa e Matemática. </w:t>
      </w:r>
    </w:p>
    <w:p w:rsidR="00000000" w:rsidDel="00000000" w:rsidP="00000000" w:rsidRDefault="00000000" w:rsidRPr="00000000" w14:paraId="000000D1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As ações de formação, que correspondem a 25% da carga horária total, são estruturadas para oferecer suporte contínuo ao monitor. Esse tempo é dedicado à realização prévia de atividades de Orientação de Estudos, preparação para as ações de monitoria, participação em formações síncronas e assíncronas ofertadas pela Coordenadoria Pedagógica (COPED), e encontros regulares com professores regentes e gestores escolares. Essas iniciativas garantem que o monitor esteja preparado para desempenhar suas atividades alinhado aos objetivos do Projeto.</w:t>
      </w:r>
    </w:p>
    <w:p w:rsidR="00000000" w:rsidDel="00000000" w:rsidP="00000000" w:rsidRDefault="00000000" w:rsidRPr="00000000" w14:paraId="000000D2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monitores devem atuar com responsabilidade, compromisso e engajamento, promovendo uma cultura de cooperação e protagonismo dentro das escolas. Eles desempenham um papel de liderança que beneficia não apenas os monitorados, mas também toda a comunidade escolar, fortalecendo o ambiente de aprendizado e colaboração. Assim, o Projeto Aluno Monitor estabelece-se como uma iniciativa que valoriza a participação ativa dos estudantes e potencializa suas trajetórias.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Style w:val="Heading1"/>
        <w:spacing w:after="240" w:line="360" w:lineRule="auto"/>
        <w:rPr/>
      </w:pPr>
      <w:bookmarkStart w:colFirst="0" w:colLast="0" w:name="_heading=h.n0ny9koi7wur" w:id="16"/>
      <w:bookmarkEnd w:id="16"/>
      <w:r w:rsidDel="00000000" w:rsidR="00000000" w:rsidRPr="00000000">
        <w:rPr>
          <w:rtl w:val="0"/>
        </w:rPr>
        <w:t xml:space="preserve">R</w:t>
      </w:r>
      <w:r w:rsidDel="00000000" w:rsidR="00000000" w:rsidRPr="00000000">
        <w:rPr>
          <w:rtl w:val="0"/>
        </w:rPr>
        <w:t xml:space="preserve">esponsabilidades</w:t>
      </w:r>
    </w:p>
    <w:p w:rsidR="00000000" w:rsidDel="00000000" w:rsidP="00000000" w:rsidRDefault="00000000" w:rsidRPr="00000000" w14:paraId="000000D4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estudante monitor é o principal protagonista do Projeto, assumindo responsabilidades que vão além do apoio aos colegas. Seu papel inclui o suporte no desenvolvimento da proficiência dos seus monitorados, a promoção de um ambiente colaborativo e o exercício de liderança no contexto escolar. A seguir, as principais responsabilidades do estudante monitor são detalhadas:</w:t>
      </w:r>
    </w:p>
    <w:p w:rsidR="00000000" w:rsidDel="00000000" w:rsidP="00000000" w:rsidRDefault="00000000" w:rsidRPr="00000000" w14:paraId="000000D5">
      <w:pPr>
        <w:numPr>
          <w:ilvl w:val="0"/>
          <w:numId w:val="12"/>
        </w:numPr>
        <w:spacing w:before="240" w:line="360" w:lineRule="auto"/>
        <w:ind w:left="720" w:hanging="36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Cumprimento da carga horária: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monitor deve cumprir a carga horária estabelecida para sua jornada de monitoria, garantindo uma participação ativa e comprometida em todas as atividades propostas. Isso inclui tanto as ações realizadas durante a carga horária do componente Orientação de Estudos quanto em horários complementares previamente definidos.</w:t>
        <w:br w:type="textWrapping"/>
      </w:r>
    </w:p>
    <w:p w:rsidR="00000000" w:rsidDel="00000000" w:rsidP="00000000" w:rsidRDefault="00000000" w:rsidRPr="00000000" w14:paraId="000000D6">
      <w:pPr>
        <w:numPr>
          <w:ilvl w:val="0"/>
          <w:numId w:val="12"/>
        </w:numPr>
        <w:spacing w:line="360" w:lineRule="auto"/>
        <w:ind w:left="720" w:hanging="36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Participação em ações formativas: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É fundamental que o monitor participe das ações formativas oferecidas no âmbito do programa. Essas formações são essenciais para o desenvolvimento das competências pedagógicas e socioemocionais necessárias para a execução eficiente de suas funções.</w:t>
        <w:br w:type="textWrapping"/>
      </w:r>
    </w:p>
    <w:p w:rsidR="00000000" w:rsidDel="00000000" w:rsidP="00000000" w:rsidRDefault="00000000" w:rsidRPr="00000000" w14:paraId="000000D7">
      <w:pPr>
        <w:numPr>
          <w:ilvl w:val="0"/>
          <w:numId w:val="12"/>
        </w:numPr>
        <w:spacing w:line="360" w:lineRule="auto"/>
        <w:ind w:left="720" w:hanging="36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Exercício de liderança e protagonismo: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monitor deve manter uma postura exemplar de liderança e protagonismo, servindo como referência positiva para os demais estudantes. Além disso, cabe a ele colaborar para o engajamento das turmas monitoradas, promovendo um ambiente de aprendizado acolhedor e motivador.</w:t>
        <w:br w:type="textWrapping"/>
      </w:r>
    </w:p>
    <w:p w:rsidR="00000000" w:rsidDel="00000000" w:rsidP="00000000" w:rsidRDefault="00000000" w:rsidRPr="00000000" w14:paraId="000000D8">
      <w:pPr>
        <w:numPr>
          <w:ilvl w:val="0"/>
          <w:numId w:val="12"/>
        </w:numPr>
        <w:spacing w:line="360" w:lineRule="auto"/>
        <w:ind w:left="720" w:hanging="36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Zelo pelos recursos e espaços do programa: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monitor é responsável por assegurar o uso adequado dos recursos e espaços destinados às atividades de monitoria. Essa responsabilidade inclui cuidar do material pedagógico, preservar os espaços físicos e garantir que suas ações sejam pautadas pelo senso de responsabilidade e compromisso.</w:t>
        <w:br w:type="textWrapping"/>
      </w:r>
    </w:p>
    <w:p w:rsidR="00000000" w:rsidDel="00000000" w:rsidP="00000000" w:rsidRDefault="00000000" w:rsidRPr="00000000" w14:paraId="000000D9">
      <w:pPr>
        <w:numPr>
          <w:ilvl w:val="0"/>
          <w:numId w:val="12"/>
        </w:numPr>
        <w:spacing w:line="360" w:lineRule="auto"/>
        <w:ind w:left="720" w:hanging="36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Entrega de relatórios mensais: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Uma das atribuições do monitor é a elaboração e entrega de relatórios mensais, que documentam as ações realizadas durante a monitoria. Esses relatórios são fundamentais para o acompanhamento e avaliação do desempenho do monitor no programa.</w:t>
        <w:br w:type="textWrapping"/>
      </w:r>
    </w:p>
    <w:p w:rsidR="00000000" w:rsidDel="00000000" w:rsidP="00000000" w:rsidRDefault="00000000" w:rsidRPr="00000000" w14:paraId="000000DA">
      <w:pPr>
        <w:numPr>
          <w:ilvl w:val="0"/>
          <w:numId w:val="12"/>
        </w:numPr>
        <w:spacing w:after="240" w:line="360" w:lineRule="auto"/>
        <w:ind w:left="720" w:hanging="36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Realização antecipada das atividades planejadas: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monitor deve realizar, de forma antecipada, as atividades previstas pelo professor regente no componente Orientação de Estudos. Essa prática permite um alinhamento entre as ações do monitor e os objetivos pedagógicos do programa.</w:t>
      </w:r>
    </w:p>
    <w:p w:rsidR="00000000" w:rsidDel="00000000" w:rsidP="00000000" w:rsidRDefault="00000000" w:rsidRPr="00000000" w14:paraId="000000DB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 atuação do estudante monitor vai muito além de apoiar os colegas em suas atividades escolares. Sua participação no programa é uma oportunidade única para desenvolver habilidades de liderança.. Com um compromisso ativo e alinhado às diretrizes do programa, o monitor tem o potencial de transformar o ambiente escolar, promovendo um aprendizado mais colaborativo.</w:t>
      </w:r>
    </w:p>
    <w:p w:rsidR="00000000" w:rsidDel="00000000" w:rsidP="00000000" w:rsidRDefault="00000000" w:rsidRPr="00000000" w14:paraId="000000DC">
      <w:pPr>
        <w:pStyle w:val="Heading1"/>
        <w:rPr/>
      </w:pPr>
      <w:bookmarkStart w:colFirst="0" w:colLast="0" w:name="_heading=h.ga12rey3ol9x" w:id="17"/>
      <w:bookmarkEnd w:id="17"/>
      <w:r w:rsidDel="00000000" w:rsidR="00000000" w:rsidRPr="00000000">
        <w:rPr>
          <w:rtl w:val="0"/>
        </w:rPr>
        <w:t xml:space="preserve">9</w:t>
      </w:r>
      <w:r w:rsidDel="00000000" w:rsidR="00000000" w:rsidRPr="00000000">
        <w:rPr>
          <w:rtl w:val="0"/>
        </w:rPr>
        <w:t xml:space="preserve">. Da atuação da Comunidade Escolar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Style w:val="Title"/>
        <w:spacing w:after="200" w:line="360" w:lineRule="auto"/>
        <w:ind w:left="0" w:firstLine="720"/>
        <w:rPr>
          <w:b w:val="0"/>
          <w:color w:val="0f0f0f"/>
          <w:sz w:val="20"/>
          <w:szCs w:val="20"/>
        </w:rPr>
      </w:pPr>
      <w:bookmarkStart w:colFirst="0" w:colLast="0" w:name="_heading=h.cne2z0cs4qdm" w:id="18"/>
      <w:bookmarkEnd w:id="18"/>
      <w:r w:rsidDel="00000000" w:rsidR="00000000" w:rsidRPr="00000000">
        <w:rPr>
          <w:b w:val="0"/>
          <w:color w:val="0f0f0f"/>
          <w:sz w:val="20"/>
          <w:szCs w:val="20"/>
          <w:rtl w:val="0"/>
        </w:rPr>
        <w:t xml:space="preserve">O Projeto Aluno Monitor conta com uma estrutura colaborativa que envolve diversas instâncias, cada uma com atribuições específicas, visando garantir a qualidade e o sucesso das ações. A seguir, estão detalhadas as responsabilidades dos envolvidos:</w:t>
      </w:r>
    </w:p>
    <w:p w:rsidR="00000000" w:rsidDel="00000000" w:rsidP="00000000" w:rsidRDefault="00000000" w:rsidRPr="00000000" w14:paraId="000000DF">
      <w:pPr>
        <w:pStyle w:val="Heading1"/>
        <w:spacing w:after="200" w:line="360" w:lineRule="auto"/>
        <w:rPr/>
      </w:pPr>
      <w:bookmarkStart w:colFirst="0" w:colLast="0" w:name="_heading=h.y4aiza8r3rf2" w:id="19"/>
      <w:bookmarkEnd w:id="19"/>
      <w:r w:rsidDel="00000000" w:rsidR="00000000" w:rsidRPr="00000000">
        <w:rPr>
          <w:rtl w:val="0"/>
        </w:rPr>
        <w:t xml:space="preserve">Unidade Escolar</w:t>
      </w:r>
    </w:p>
    <w:p w:rsidR="00000000" w:rsidDel="00000000" w:rsidP="00000000" w:rsidRDefault="00000000" w:rsidRPr="00000000" w14:paraId="000000E0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 Unidade Escolar é a principal responsável por operacionalizar o Projeto Aluno Monitor, garantindo que as diretrizes estabelecidas pela Secretaria de Educação sejam implementadas com qualidade. Para isso, suas atribuições abrangem desde a aprovação e suporte aos monitores até o acompanhamento contínuo do programa, com foco na excelência pedagógica e organizacional.</w:t>
      </w:r>
    </w:p>
    <w:p w:rsidR="00000000" w:rsidDel="00000000" w:rsidP="00000000" w:rsidRDefault="00000000" w:rsidRPr="00000000" w14:paraId="000000E1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Abaixo, são especificadas as principais responsabilidades da Unidade Escolar no programa:</w:t>
      </w:r>
    </w:p>
    <w:p w:rsidR="00000000" w:rsidDel="00000000" w:rsidP="00000000" w:rsidRDefault="00000000" w:rsidRPr="00000000" w14:paraId="000000E2">
      <w:pPr>
        <w:numPr>
          <w:ilvl w:val="0"/>
          <w:numId w:val="11"/>
        </w:numPr>
        <w:spacing w:before="240"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Designação de um ponto focal: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A Unidade Escolar deve nomear um membro da equipe gestora para ser o ponto focal do Projeto. Esse responsável será encarregado de coordenar e monitorar todas as ações relacionadas ao Programa Aluno Monitor na unidade, assegurando que as atividades ocorram conforme planejado.</w:t>
        <w:br w:type="textWrapping"/>
      </w:r>
    </w:p>
    <w:p w:rsidR="00000000" w:rsidDel="00000000" w:rsidP="00000000" w:rsidRDefault="00000000" w:rsidRPr="00000000" w14:paraId="000000E3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Apoio no processo de inscrição: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Cabe à Unidade Escolar apoiar os estudantes elegíveis na inscrição para o programa, garantindo que sigam os critérios estabelecidos nos editais e nas orientações da Secretaria de Educação. Esse suporte inclui a divulgação adequada das informações e o acompanhamento do processo de inscrição.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Organização dos momentos de entrevista: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A Unidade Escolar deve organizar bancas de entrevista para avaliar os candidatos inscritos. Essa etapa inclui a análise dos perfis dos estudantes e a definição de quais deles serão aprovados para atuar como monitores.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Oferta de apoio pedagógico: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A unidade escolar deve assegurar que os monitores tenham o apoio necessário dos professores regentes e das equipes pedagógicas, promovendo um ambiente propício para o desenvolvimento de suas atividades.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Avaliação e aprovação de relatórios mensais: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 Unidade Escolar é responsável por avaliar e aprovar os relatórios mensais elaborados pelos monitores. Esses documentos são fundamentais para o acompanhamento das atividades realizadas e para a liberação das bolsas aos estudantes.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Monitoramento de assiduidade e desempenho: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A unidade deve acompanhar a frequência e o desempenho dos monitores, garantindo que eles cumpram a carga horária exigida e participem das ações formativas previstas no programa.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Facilitação de recursos e espaços: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É dever da Unidade Escolar disponibilizar espaços adequados para o trabalho dos monitores, como salas de estudo e áreas para planejamento.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Definição de turmas e horários de monitoria: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A Unidade Escolar deve estabelecer quais turmas e estudantes serão atendidos por cada monitor, além de organizar os horários semanais destinados às ações de monitoria.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Avaliação da permanência no programa: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desempenho e o engajamento dos monitores devem ser criteriosamente avaliados para decidir sobre sua permanência no programa.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numPr>
          <w:ilvl w:val="0"/>
          <w:numId w:val="11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Encerramento de bolsas por afastamento ou desengajamento: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Caso um monitor fique afastado da Unidade Escolar por mais de três semanas, a Unidade Escolar deve realizar o encerramento de sua bolsa via Secretaria Escolar Digital (SED).</w:t>
      </w:r>
    </w:p>
    <w:p w:rsidR="00000000" w:rsidDel="00000000" w:rsidP="00000000" w:rsidRDefault="00000000" w:rsidRPr="00000000" w14:paraId="000000EC">
      <w:pPr>
        <w:spacing w:line="360" w:lineRule="auto"/>
        <w:ind w:left="720" w:firstLine="0"/>
        <w:jc w:val="both"/>
        <w:rPr/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Caso o monitor repetidamente não esteja cumprindo com as suas responsabilidades ou com a carga horária estabelecida, sejam elas de monitoria ou de formação e estudo, a Unidade Escolar deve realizar o encerramento de sua bolsa via Secretaria Escolar Digital (SED).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numPr>
          <w:ilvl w:val="0"/>
          <w:numId w:val="11"/>
        </w:numPr>
        <w:spacing w:after="240"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Recrutamento de novos monitores:</w:t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br w:type="textWrapping"/>
        <w:t xml:space="preserve">A Unidade Escolar é responsável por selecionar novos candidatos para substituir monitores que tenham sua bolsa encerrada até o prazo de 31/10/2025.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240" w:before="240" w:line="360" w:lineRule="auto"/>
        <w:ind w:firstLine="720"/>
        <w:jc w:val="both"/>
        <w:rPr/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cumprimento rigoroso dessas responsabilidades pela Unidade Escolar é essencial para o sucesso do Projeto Aluno Monitor. Cada ação desempenhada contribui para a criação de um ambiente colaborativo e produtivo, permitindo que os monitores desenvolvam suas habilidades e que os estudantes atendidos obtenham um suporte significativo. O alinhamento com as diretrizes da Secretaria de Educação garante não apenas a qualidade da implementação, mas também o impacto positivo no aprendizado e no engajamento dos estudantes.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Style w:val="Heading1"/>
        <w:rPr/>
      </w:pPr>
      <w:bookmarkStart w:colFirst="0" w:colLast="0" w:name="_heading=h.mqe6wr1dkmel" w:id="20"/>
      <w:bookmarkEnd w:id="20"/>
      <w:r w:rsidDel="00000000" w:rsidR="00000000" w:rsidRPr="00000000">
        <w:rPr>
          <w:rtl w:val="0"/>
        </w:rPr>
        <w:t xml:space="preserve">Professor do componente de Orientação de Estudos</w:t>
      </w:r>
    </w:p>
    <w:p w:rsidR="00000000" w:rsidDel="00000000" w:rsidP="00000000" w:rsidRDefault="00000000" w:rsidRPr="00000000" w14:paraId="000000F0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professor regente desempenha um papel fundamental no Projeto Aluno Monitor, funcionando como elo entre as ações dos monitores e o planejamento pedagógico das turmas monitoradas. Sua atuação direta com os estudantes monitores e a equipe pedagógica assegura a eficácia das atividades de monitoria e para promover o protagonismo dos monitores no ambiente escolar. Abaixo estão as principais atribuições do professor regente no programa:</w:t>
      </w:r>
    </w:p>
    <w:p w:rsidR="00000000" w:rsidDel="00000000" w:rsidP="00000000" w:rsidRDefault="00000000" w:rsidRPr="00000000" w14:paraId="000000F1">
      <w:pPr>
        <w:numPr>
          <w:ilvl w:val="0"/>
          <w:numId w:val="14"/>
        </w:numPr>
        <w:spacing w:before="240"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Acompanhamento e orientação dos monitores: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professor regente deve acompanhar e orientar os monitores de suas turmas em todas as suas atividades. É sua responsabilidade garantir que os estudantes cumpram as funções previstas na monitoria e que suas ações estejam alinhadas às necessidades pedagógicas específicas das turmas monitoradas.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numPr>
          <w:ilvl w:val="0"/>
          <w:numId w:val="14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Consumo de materiais formativos: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professor regente deve participar ativamente das ATPCs (Atividades de Trabalho Pedagógico Coletivo) voltadas para a Orientação de Estudo ou do programa Multiplica Orientação de Estudo. Essas reuniões são oportunidades para compartilhar práticas, alinhar estratégias pedagógicas e receber orientações que potencializam o impacto do programa.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numPr>
          <w:ilvl w:val="0"/>
          <w:numId w:val="14"/>
        </w:numPr>
        <w:spacing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Mediação do desenvolvimento dos monitores: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Uma das funções-chave do professor regente é mediar o diálogo e o desenvolvimento dos monitores de suas turmas. Ele deve promover o protagonismo desses estudantes, incentivando-os a serem exemplos para os demais colegas e reforçando sua posição como referências positivas no ambiente escolar.</w:t>
        <w:br w:type="textWrapping"/>
      </w:r>
    </w:p>
    <w:p w:rsidR="00000000" w:rsidDel="00000000" w:rsidP="00000000" w:rsidRDefault="00000000" w:rsidRPr="00000000" w14:paraId="000000F4">
      <w:pPr>
        <w:numPr>
          <w:ilvl w:val="0"/>
          <w:numId w:val="14"/>
        </w:numPr>
        <w:spacing w:after="240" w:line="360" w:lineRule="auto"/>
        <w:ind w:left="720" w:hanging="360"/>
        <w:jc w:val="both"/>
      </w:pPr>
      <w:r w:rsidDel="00000000" w:rsidR="00000000" w:rsidRPr="00000000">
        <w:rPr>
          <w:rFonts w:ascii="Montserrat" w:cs="Montserrat" w:eastAsia="Montserrat" w:hAnsi="Montserrat"/>
          <w:b w:val="1"/>
          <w:color w:val="0f0f0f"/>
          <w:sz w:val="20"/>
          <w:szCs w:val="20"/>
          <w:rtl w:val="0"/>
        </w:rPr>
        <w:t xml:space="preserve">Permissão para atuação nas aulas de Orientação de Estudo:</w:t>
        <w:br w:type="textWrapping"/>
      </w: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O professor regente deve garantir que os monitores tenham espaço para atuar durante as aulas de Orientação de Estudo. Essa atuação deve ser planejada e estruturada, visando aumentar o engajamento dos monitores e ampliar o impacto de suas contribuições nas dinâmicas de ensino e aprendizagem.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color w:val="0f0f0f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color w:val="0f0f0f"/>
          <w:sz w:val="20"/>
          <w:szCs w:val="20"/>
          <w:rtl w:val="0"/>
        </w:rPr>
        <w:t xml:space="preserve">Ao oferecer suporte consistente e abrir espaço para a participação ativa dos monitores, o professor regente contribui diretamente para a criação de um ambiente de aprendizagem colaborativa e enriquecedora, alinhado aos objetivos do programa.</w:t>
      </w:r>
    </w:p>
    <w:p w:rsidR="00000000" w:rsidDel="00000000" w:rsidP="00000000" w:rsidRDefault="00000000" w:rsidRPr="00000000" w14:paraId="000000F6">
      <w:pPr>
        <w:pStyle w:val="Heading1"/>
        <w:rPr>
          <w:vertAlign w:val="baseline"/>
        </w:rPr>
      </w:pPr>
      <w:bookmarkStart w:colFirst="0" w:colLast="0" w:name="_heading=h.o7lnenmczlwz" w:id="21"/>
      <w:bookmarkEnd w:id="21"/>
      <w:r w:rsidDel="00000000" w:rsidR="00000000" w:rsidRPr="00000000">
        <w:rPr>
          <w:rtl w:val="0"/>
        </w:rPr>
        <w:t xml:space="preserve">10</w:t>
      </w:r>
      <w:r w:rsidDel="00000000" w:rsidR="00000000" w:rsidRPr="00000000">
        <w:rPr>
          <w:rtl w:val="0"/>
        </w:rPr>
        <w:t xml:space="preserve">. Do pagamento das bolsas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bolsa é considerada um instrumento estratégico para apoiar a execução e potencializar o sucesso do programa. O benefício financeiro visa não apenas incentivar a participação e engajamento do monitor no Projeto, mas também reconhecer o compromisso e a dedicação dos monitores, além de reforçar o seu papel como protagonista e como exemplo dentro da comunidade escolar,  transbordando o efeito para os seus colegas.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valor da bolsa é estabelecido de acordo com a carga horária semanal de monitoria: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40" w:line="360" w:lineRule="auto"/>
        <w:ind w:left="720" w:right="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R$555,30 (quinhentos e cinquenta e cinco reais e trinta centavos) para estudantes que cumprem uma jornada de 16 horas semanais, sendo 12 destinadas à monitoria e 4 à trilha formativa.</w:t>
        <w:br w:type="textWrapping"/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360" w:lineRule="auto"/>
        <w:ind w:left="720" w:right="0" w:hanging="360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R$296,16 (duzentos e noventa e seis reais e dezesseis centavos) para estudantes que cumprem uma jornada reduzida de 8 horas semanais, sendo 6 destinadas à monitoria e 2 à trilha formativa.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valor da bolsa poderá ser reajustado anualmente conforme o valor da UFESP. Para garantir o pagamento da bolsa, os estudantes monitores devem cumprir os seguintes critérios: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both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Cumprimento integral da carga horária estabelecida, inclusive do programa de formação;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Engajamento, avaliado pela equipe gestora da unidade escolar.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Entrega de relatórios mensais com aprovação da unidade escolar.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720" w:right="0" w:hanging="360"/>
        <w:jc w:val="both"/>
        <w:rPr>
          <w:rFonts w:ascii="Montserrat" w:cs="Montserrat" w:eastAsia="Montserrat" w:hAnsi="Montserrat"/>
          <w:sz w:val="20"/>
          <w:szCs w:val="20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Participação ativa nas ações formativas oferecidas pelo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período de execução da bolsa, com vigência máxima de 10 (dez) meses, será de 10 de março de 2025 a 12 de dezembro de 2025. O número de parcelas é proporcional ao número de meses de atuação de cada monitor. O pagamento da bolsa será efetuado em até 30 dias após aprovação do relatório pela Unidade Escolar.</w:t>
      </w:r>
    </w:p>
    <w:p w:rsidR="00000000" w:rsidDel="00000000" w:rsidP="00000000" w:rsidRDefault="00000000" w:rsidRPr="00000000" w14:paraId="00000101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o recebimento da bolsa, o estudante deverá </w:t>
      </w: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informar seu CPF corretamente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durante o processo de inscrição para que seja aberta uma conta digital, a </w:t>
      </w:r>
      <w:hyperlink r:id="rId19">
        <w:r w:rsidDel="00000000" w:rsidR="00000000" w:rsidRPr="00000000">
          <w:rPr>
            <w:rFonts w:ascii="Montserrat" w:cs="Montserrat" w:eastAsia="Montserrat" w:hAnsi="Montserrat"/>
            <w:color w:val="1155cc"/>
            <w:sz w:val="20"/>
            <w:szCs w:val="20"/>
            <w:u w:val="single"/>
            <w:rtl w:val="0"/>
          </w:rPr>
          <w:t xml:space="preserve">Poupança Social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,  no Banco do Brasil (BB). A criação da conta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será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realizada diretamente pelo Banco do Brasil, em parceria com a Secretaria de Educação do Estado de São Paulo.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240" w:before="240" w:line="360" w:lineRule="auto"/>
        <w:ind w:firstLine="720"/>
        <w:jc w:val="both"/>
        <w:rPr/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Para que o primeiro pagamento seja liberado, é necessário que o estudante, acompanhado do responsável legal, compareça à agência bancária para concluir a assinatura de abertura da conta. Após essa etapa inicial, o estudante terá completo acesso à conta e poderá realizar todas as transações de forma autônoma pelo aplicativo digital do banco ou, se preferir, por meio do atendimento presencial nas agências ou pelo SAC.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Style w:val="Heading1"/>
        <w:jc w:val="both"/>
        <w:rPr>
          <w:vertAlign w:val="baseline"/>
        </w:rPr>
      </w:pPr>
      <w:bookmarkStart w:colFirst="0" w:colLast="0" w:name="_heading=h.cnw1yen3nlfd" w:id="22"/>
      <w:bookmarkEnd w:id="22"/>
      <w:r w:rsidDel="00000000" w:rsidR="00000000" w:rsidRPr="00000000">
        <w:rPr>
          <w:rtl w:val="0"/>
        </w:rPr>
        <w:t xml:space="preserve">11</w:t>
      </w:r>
      <w:r w:rsidDel="00000000" w:rsidR="00000000" w:rsidRPr="00000000">
        <w:rPr>
          <w:vertAlign w:val="baseline"/>
          <w:rtl w:val="0"/>
        </w:rPr>
        <w:t xml:space="preserve">. Considerações finais</w:t>
      </w:r>
    </w:p>
    <w:p w:rsidR="00000000" w:rsidDel="00000000" w:rsidP="00000000" w:rsidRDefault="00000000" w:rsidRPr="00000000" w14:paraId="00000104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Projeto Aluno Monitor surge como uma importante estratégia para o fortalecimento da educação, promovendo a formação de estudantes monitores, que não só contribuem com suas competências no apoio aos colegas, mas também desenvolvem habilidades de liderança, autonomia e colaboração. A implementação do Projeto, que envolve uma rede integrada de ações entre a SEDUC, Diretoria de Ensino, Unidades Escolares, Professores Regentes e os Estudantes Monitores, reflete o compromisso com a melhoria contínua da qualidade do ensino.</w:t>
      </w:r>
    </w:p>
    <w:p w:rsidR="00000000" w:rsidDel="00000000" w:rsidP="00000000" w:rsidRDefault="00000000" w:rsidRPr="00000000" w14:paraId="00000105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 coordenação das diversas instâncias responsáveis pelo Projeto é fundamental para o seu sucesso. As atribuições da SEDUC garantem a orientação pedagógica e o suporte tecnológico necessários para que o Projeto seja implementado de forma eficaz. A Diretoria de Ensino exerce um papel de acompanhamento e supervisão nas unidades escolares, assegurando que as diretrizes sejam seguidas e que as práticas pedagógicas estejam em consonância com as necessidades de cada contexto escolar.</w:t>
      </w:r>
    </w:p>
    <w:p w:rsidR="00000000" w:rsidDel="00000000" w:rsidP="00000000" w:rsidRDefault="00000000" w:rsidRPr="00000000" w14:paraId="00000106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As Unidades Escolares desempenham um papel fundamental na operacionalização do Projeto, sendo responsáveis por organizar parte da seleção dos monitores, garantir o suporte necessário às suas atividades e avaliar o desempenho dos monitores e dos estudantes atendidos. A atuação do Professor Regente, por sua vez, é responsável pelo acompanhamento do trabalho pedagógico dos monitores, integrando-os de forma produtiva no processo de ensino e aprendizagem.</w:t>
      </w:r>
    </w:p>
    <w:p w:rsidR="00000000" w:rsidDel="00000000" w:rsidP="00000000" w:rsidRDefault="00000000" w:rsidRPr="00000000" w14:paraId="00000107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Os estudantes monitores são os protagonistas deste Projeto, assumindo responsabilidades tanto pedagógicas quanto formativas. Ao se engajarem nas atividades de monitoria, esses estudantes não apenas colaboram com o aprendizado dos colegas, mas também se beneficiam de uma experiência que contribui para sua formação acadêmica e pessoal, preparando-os para desafios futuros.</w:t>
      </w:r>
    </w:p>
    <w:p w:rsidR="00000000" w:rsidDel="00000000" w:rsidP="00000000" w:rsidRDefault="00000000" w:rsidRPr="00000000" w14:paraId="00000108">
      <w:pPr>
        <w:spacing w:after="240" w:before="240" w:line="360" w:lineRule="auto"/>
        <w:ind w:firstLine="720"/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O Projeto Aluno Monitor é, portanto, uma oportunidade para a promoção do protagonismo estudantil e para o fortalecimento das práticas pedagógicas nas escolas. O Projeto visa a criação de um ambiente educacional mais colaborativo, onde todos os envolvidos são parte de um processo contínuo de desenvolvimento. A recomposição de aprendizagens vai além dos processos tradicionais de reforço e recuperação escolar. Ela busca garantir uma recuperação mais ampla e contínua, ajustada às necessidades de cada estudante, com foco na aceleração do processo de ensino-aprendizagem.</w:t>
      </w:r>
    </w:p>
    <w:p w:rsidR="00000000" w:rsidDel="00000000" w:rsidP="00000000" w:rsidRDefault="00000000" w:rsidRPr="00000000" w14:paraId="00000109">
      <w:pPr>
        <w:pStyle w:val="Heading1"/>
        <w:spacing w:before="76" w:lineRule="auto"/>
        <w:rPr/>
      </w:pPr>
      <w:bookmarkStart w:colFirst="0" w:colLast="0" w:name="_heading=h.2xe3iz84aqg7" w:id="23"/>
      <w:bookmarkEnd w:id="2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Style w:val="Heading1"/>
        <w:spacing w:before="76" w:lineRule="auto"/>
        <w:ind w:left="0" w:firstLine="0"/>
        <w:rPr>
          <w:rFonts w:ascii="Montserrat" w:cs="Montserrat" w:eastAsia="Montserrat" w:hAnsi="Montserrat"/>
          <w:sz w:val="20"/>
          <w:szCs w:val="20"/>
          <w:shd w:fill="ffe599" w:val="clear"/>
        </w:rPr>
      </w:pPr>
      <w:bookmarkStart w:colFirst="0" w:colLast="0" w:name="_heading=h.tap8gvojvjqi" w:id="24"/>
      <w:bookmarkEnd w:id="24"/>
      <w:r w:rsidDel="00000000" w:rsidR="00000000" w:rsidRPr="00000000">
        <w:rPr>
          <w:vertAlign w:val="baseline"/>
          <w:rtl w:val="0"/>
        </w:rPr>
        <w:t xml:space="preserve">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240" w:befor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SECRETARIA DA EDUCAÇÃO DO ESTADO DE SÃO PAULO.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Lei nº 18.028, de 10 de setembro de 2024. Institui o Programa Estágio SP de incentivo à concessão de estágio, aprendizagem profissional e monitoria para estudantes do ensino médio da rede pública estadual. </w:t>
      </w:r>
      <w:r w:rsidDel="00000000" w:rsidR="00000000" w:rsidRPr="00000000">
        <w:rPr>
          <w:rFonts w:ascii="Montserrat" w:cs="Montserrat" w:eastAsia="Montserrat" w:hAnsi="Montserrat"/>
          <w:i w:val="1"/>
          <w:sz w:val="20"/>
          <w:szCs w:val="20"/>
          <w:rtl w:val="0"/>
        </w:rPr>
        <w:t xml:space="preserve">Disponível em:</w:t>
      </w:r>
      <w:hyperlink r:id="rId20">
        <w:r w:rsidDel="00000000" w:rsidR="00000000" w:rsidRPr="00000000">
          <w:rPr>
            <w:rFonts w:ascii="Montserrat" w:cs="Montserrat" w:eastAsia="Montserrat" w:hAnsi="Montserrat"/>
            <w:sz w:val="20"/>
            <w:szCs w:val="20"/>
            <w:rtl w:val="0"/>
          </w:rPr>
          <w:t xml:space="preserve"> </w:t>
        </w:r>
      </w:hyperlink>
      <w:hyperlink r:id="rId21">
        <w:r w:rsidDel="00000000" w:rsidR="00000000" w:rsidRPr="00000000">
          <w:rPr>
            <w:rFonts w:ascii="Montserrat" w:cs="Montserrat" w:eastAsia="Montserrat" w:hAnsi="Montserrat"/>
            <w:color w:val="1155cc"/>
            <w:sz w:val="20"/>
            <w:szCs w:val="20"/>
            <w:u w:val="single"/>
            <w:rtl w:val="0"/>
          </w:rPr>
          <w:t xml:space="preserve">https://decentro.educacao.sp.gov.br/lei-no-18-028-de-10-de-setembro-de-2024-institui-o-programa-estagio-sp-de-incentivo-a-concessao-de-estagio-aprendizagem-profissional-e-monitoria-para-estudantes-do-ensino-medio-da-rede-publica-es/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10C">
      <w:pPr>
        <w:spacing w:after="240" w:before="240" w:lineRule="auto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SÃO PAULO (Estado).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Decreto nº 68.935, de 2024. Regula a Lei nº 18.028, de 10 de setembro de 2024, que institui o Programa Estágio SP de incentivo à concessão de estágio, aprendizagem profissional e monitoria para estudantes do ensino médio da rede pública estadual. </w:t>
      </w:r>
      <w:r w:rsidDel="00000000" w:rsidR="00000000" w:rsidRPr="00000000">
        <w:rPr>
          <w:rFonts w:ascii="Montserrat" w:cs="Montserrat" w:eastAsia="Montserrat" w:hAnsi="Montserrat"/>
          <w:i w:val="1"/>
          <w:sz w:val="20"/>
          <w:szCs w:val="20"/>
          <w:rtl w:val="0"/>
        </w:rPr>
        <w:t xml:space="preserve">Disponível em:</w:t>
      </w:r>
      <w:hyperlink r:id="rId22">
        <w:r w:rsidDel="00000000" w:rsidR="00000000" w:rsidRPr="00000000">
          <w:rPr>
            <w:rFonts w:ascii="Montserrat" w:cs="Montserrat" w:eastAsia="Montserrat" w:hAnsi="Montserrat"/>
            <w:sz w:val="20"/>
            <w:szCs w:val="20"/>
            <w:rtl w:val="0"/>
          </w:rPr>
          <w:t xml:space="preserve"> </w:t>
        </w:r>
      </w:hyperlink>
      <w:hyperlink r:id="rId23">
        <w:r w:rsidDel="00000000" w:rsidR="00000000" w:rsidRPr="00000000">
          <w:rPr>
            <w:rFonts w:ascii="Montserrat" w:cs="Montserrat" w:eastAsia="Montserrat" w:hAnsi="Montserrat"/>
            <w:color w:val="1155cc"/>
            <w:sz w:val="20"/>
            <w:szCs w:val="20"/>
            <w:u w:val="single"/>
            <w:rtl w:val="0"/>
          </w:rPr>
          <w:t xml:space="preserve">https://leisestaduais.com.br/sp/decreto-n-68935-2024-sao-paulo-regulamenta-a-lei-no-18-028-de-10-de-setembro-de-2024-que-institui-o-programa-estagio-sp-de-incentivo-a-concessao-de-estagio-aprendizagem-profissional-e-monitoria-para-estudantes-do-ensino-medio-da-rede-publica-esta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240" w:befor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SECRETARIA DE EDUCAÇÃO DO ESTADO DE SÃO PAULO.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Documento orientador: orientação de estudos. Anos finais do ensino fundamental, ensino médio. São Paulo, 2025. Disponível em: </w:t>
      </w:r>
      <w:hyperlink r:id="rId24">
        <w:r w:rsidDel="00000000" w:rsidR="00000000" w:rsidRPr="00000000">
          <w:rPr>
            <w:rFonts w:ascii="Montserrat" w:cs="Montserrat" w:eastAsia="Montserrat" w:hAnsi="Montserrat"/>
            <w:color w:val="1155cc"/>
            <w:sz w:val="20"/>
            <w:szCs w:val="20"/>
            <w:u w:val="single"/>
            <w:rtl w:val="0"/>
          </w:rPr>
          <w:t xml:space="preserve">https://docs.google.com/document/d/1TA99lj__lVxoh_TMsTpWvfpBzTnvZzah/edit?usp=sharing&amp;ouid=114517096465786619445&amp;rtpof=true&amp;sd=true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10E">
      <w:pPr>
        <w:spacing w:after="240" w:befor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KALKOWSKI, P.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(1995). School Improvement Research Series: Peer and Cross-Age Tutoring. Close-Up #18.</w:t>
      </w:r>
    </w:p>
    <w:p w:rsidR="00000000" w:rsidDel="00000000" w:rsidP="00000000" w:rsidRDefault="00000000" w:rsidRPr="00000000" w14:paraId="0000010F">
      <w:pPr>
        <w:spacing w:after="240" w:befor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INSTITUTO AYRTON SENNA.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Competências Socioemocionais dos Estudantes. </w:t>
      </w:r>
      <w:r w:rsidDel="00000000" w:rsidR="00000000" w:rsidRPr="00000000">
        <w:rPr>
          <w:rFonts w:ascii="Montserrat" w:cs="Montserrat" w:eastAsia="Montserrat" w:hAnsi="Montserrat"/>
          <w:i w:val="1"/>
          <w:sz w:val="20"/>
          <w:szCs w:val="20"/>
          <w:rtl w:val="0"/>
        </w:rPr>
        <w:t xml:space="preserve">Disponível em:</w:t>
      </w:r>
      <w:hyperlink r:id="rId25">
        <w:r w:rsidDel="00000000" w:rsidR="00000000" w:rsidRPr="00000000">
          <w:rPr>
            <w:rFonts w:ascii="Montserrat" w:cs="Montserrat" w:eastAsia="Montserrat" w:hAnsi="Montserrat"/>
            <w:sz w:val="20"/>
            <w:szCs w:val="20"/>
            <w:rtl w:val="0"/>
          </w:rPr>
          <w:t xml:space="preserve"> </w:t>
        </w:r>
      </w:hyperlink>
      <w:hyperlink r:id="rId26">
        <w:r w:rsidDel="00000000" w:rsidR="00000000" w:rsidRPr="00000000">
          <w:rPr>
            <w:rFonts w:ascii="Montserrat" w:cs="Montserrat" w:eastAsia="Montserrat" w:hAnsi="Montserrat"/>
            <w:color w:val="1155cc"/>
            <w:sz w:val="20"/>
            <w:szCs w:val="20"/>
            <w:u w:val="single"/>
            <w:rtl w:val="0"/>
          </w:rPr>
          <w:t xml:space="preserve">https://institutoayrtonsenna.org.br/o-que-defendemos/competencias-socioemocionais-estudantes/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110">
      <w:pPr>
        <w:spacing w:after="240" w:befor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INEP.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 Matrizes e Escalas SAEB. </w:t>
      </w:r>
      <w:r w:rsidDel="00000000" w:rsidR="00000000" w:rsidRPr="00000000">
        <w:rPr>
          <w:rFonts w:ascii="Montserrat" w:cs="Montserrat" w:eastAsia="Montserrat" w:hAnsi="Montserrat"/>
          <w:i w:val="1"/>
          <w:sz w:val="20"/>
          <w:szCs w:val="20"/>
          <w:rtl w:val="0"/>
        </w:rPr>
        <w:t xml:space="preserve">Disponível em:</w:t>
      </w:r>
      <w:hyperlink r:id="rId27">
        <w:r w:rsidDel="00000000" w:rsidR="00000000" w:rsidRPr="00000000">
          <w:rPr>
            <w:rFonts w:ascii="Montserrat" w:cs="Montserrat" w:eastAsia="Montserrat" w:hAnsi="Montserrat"/>
            <w:sz w:val="20"/>
            <w:szCs w:val="20"/>
            <w:rtl w:val="0"/>
          </w:rPr>
          <w:t xml:space="preserve"> </w:t>
        </w:r>
      </w:hyperlink>
      <w:hyperlink r:id="rId28">
        <w:r w:rsidDel="00000000" w:rsidR="00000000" w:rsidRPr="00000000">
          <w:rPr>
            <w:rFonts w:ascii="Montserrat" w:cs="Montserrat" w:eastAsia="Montserrat" w:hAnsi="Montserrat"/>
            <w:color w:val="1155cc"/>
            <w:sz w:val="20"/>
            <w:szCs w:val="20"/>
            <w:u w:val="single"/>
            <w:rtl w:val="0"/>
          </w:rPr>
          <w:t xml:space="preserve">https://www.gov.br/inep/pt-br/areas-de-atuacao/avaliacao-e-exames-educacionais/SAEB/matrizes-e-escalas</w:t>
        </w:r>
      </w:hyperlink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111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29" w:type="default"/>
      <w:type w:val="nextPage"/>
      <w:pgSz w:h="16840" w:w="11910" w:orient="portrait"/>
      <w:pgMar w:bottom="1133.8582677165355" w:top="1417.3228346456694" w:left="1700.7874015748032" w:right="1133.8582677165355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Times New Roman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8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9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-622299</wp:posOffset>
              </wp:positionH>
              <wp:positionV relativeFrom="paragraph">
                <wp:posOffset>114300</wp:posOffset>
              </wp:positionV>
              <wp:extent cx="7667625" cy="1238250"/>
              <wp:effectExtent b="0" l="0" r="0" t="0"/>
              <wp:wrapNone/>
              <wp:docPr id="1464" name=""/>
              <a:graphic>
                <a:graphicData uri="http://schemas.microsoft.com/office/word/2010/wordprocessingShape">
                  <wps:wsp>
                    <wps:cNvSpPr/>
                    <wps:cNvPr id="18" name="Shape 18"/>
                    <wps:spPr>
                      <a:xfrm>
                        <a:off x="1307400" y="3273900"/>
                        <a:ext cx="8077200" cy="1012200"/>
                      </a:xfrm>
                      <a:prstGeom prst="roundRect">
                        <a:avLst>
                          <a:gd fmla="val 50000" name="adj"/>
                        </a:avLst>
                      </a:prstGeom>
                      <a:solidFill>
                        <a:srgbClr val="2BCACA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-622299</wp:posOffset>
              </wp:positionH>
              <wp:positionV relativeFrom="paragraph">
                <wp:posOffset>114300</wp:posOffset>
              </wp:positionV>
              <wp:extent cx="7667625" cy="1238250"/>
              <wp:effectExtent b="0" l="0" r="0" t="0"/>
              <wp:wrapNone/>
              <wp:docPr id="1464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67625" cy="12382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A">
    <w:pPr>
      <w:jc w:val="right"/>
      <w:rPr>
        <w:rFonts w:ascii="Montserrat" w:cs="Montserrat" w:eastAsia="Montserrat" w:hAnsi="Montserrat"/>
      </w:rPr>
    </w:pPr>
    <w:r w:rsidDel="00000000" w:rsidR="00000000" w:rsidRPr="00000000">
      <w:rPr>
        <w:rFonts w:ascii="Montserrat" w:cs="Montserrat" w:eastAsia="Montserrat" w:hAnsi="Montserrat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-1266824</wp:posOffset>
              </wp:positionH>
              <wp:positionV relativeFrom="paragraph">
                <wp:posOffset>271851</wp:posOffset>
              </wp:positionV>
              <wp:extent cx="7829550" cy="1080699"/>
              <wp:effectExtent b="0" l="0" r="0" t="0"/>
              <wp:wrapNone/>
              <wp:docPr id="1463" name=""/>
              <a:graphic>
                <a:graphicData uri="http://schemas.microsoft.com/office/word/2010/wordprocessingShape">
                  <wps:wsp>
                    <wps:cNvSpPr/>
                    <wps:cNvPr id="17" name="Shape 17"/>
                    <wps:spPr>
                      <a:xfrm>
                        <a:off x="1307400" y="3273900"/>
                        <a:ext cx="8077200" cy="1012200"/>
                      </a:xfrm>
                      <a:prstGeom prst="roundRect">
                        <a:avLst>
                          <a:gd fmla="val 50000" name="adj"/>
                        </a:avLst>
                      </a:prstGeom>
                      <a:solidFill>
                        <a:srgbClr val="2BCACA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-1266824</wp:posOffset>
              </wp:positionH>
              <wp:positionV relativeFrom="paragraph">
                <wp:posOffset>271851</wp:posOffset>
              </wp:positionV>
              <wp:extent cx="7829550" cy="1080699"/>
              <wp:effectExtent b="0" l="0" r="0" t="0"/>
              <wp:wrapNone/>
              <wp:docPr id="146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829550" cy="108069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2">
    <w:pPr>
      <w:rPr/>
    </w:pPr>
    <w:r w:rsidDel="00000000" w:rsidR="00000000" w:rsidRPr="00000000">
      <w:rPr/>
      <w:pict>
        <v:shape id="PowerPlusWaterMarkObject2" style="position:absolute;width:686.6857581633107pt;height:75.96509585092994pt;rotation:315;z-index:-503316481;mso-position-horizontal-relative:margin;mso-position-horizontal:center;mso-position-vertical-relative:margin;mso-position-vertical:center;" fillcolor="#e8eaed" stroked="f" type="#_x0000_t136">
          <v:fill angle="0" opacity="65536f"/>
          <v:textpath fitshape="t" string="Versão Preliminar 2025" style="font-family:&amp;quot;Arial&amp;quot;;font-size:1pt;"/>
        </v:shape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5200650</wp:posOffset>
          </wp:positionH>
          <wp:positionV relativeFrom="paragraph">
            <wp:posOffset>-290522</wp:posOffset>
          </wp:positionV>
          <wp:extent cx="1605352" cy="490524"/>
          <wp:effectExtent b="0" l="0" r="0" t="0"/>
          <wp:wrapNone/>
          <wp:docPr id="147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05352" cy="49052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19050</wp:posOffset>
          </wp:positionH>
          <wp:positionV relativeFrom="paragraph">
            <wp:posOffset>19050</wp:posOffset>
          </wp:positionV>
          <wp:extent cx="1350963" cy="190500"/>
          <wp:effectExtent b="0" l="0" r="0" t="0"/>
          <wp:wrapNone/>
          <wp:docPr id="147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0963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19050</wp:posOffset>
          </wp:positionH>
          <wp:positionV relativeFrom="paragraph">
            <wp:posOffset>19050</wp:posOffset>
          </wp:positionV>
          <wp:extent cx="1350963" cy="190500"/>
          <wp:effectExtent b="0" l="0" r="0" t="0"/>
          <wp:wrapNone/>
          <wp:docPr id="146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0963" cy="1905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3">
    <w:pPr>
      <w:pStyle w:val="Title"/>
      <w:rPr/>
    </w:pPr>
    <w:bookmarkStart w:colFirst="0" w:colLast="0" w:name="_heading=h.t0ig7v9agrcj" w:id="25"/>
    <w:bookmarkEnd w:id="25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5076825</wp:posOffset>
          </wp:positionH>
          <wp:positionV relativeFrom="paragraph">
            <wp:posOffset>28579</wp:posOffset>
          </wp:positionV>
          <wp:extent cx="1605352" cy="490524"/>
          <wp:effectExtent b="0" l="0" r="0" t="0"/>
          <wp:wrapNone/>
          <wp:docPr id="146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05352" cy="490524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14">
    <w:pPr>
      <w:rPr>
        <w:rFonts w:ascii="Montserrat" w:cs="Montserrat" w:eastAsia="Montserrat" w:hAnsi="Montserrat"/>
        <w:b w:val="1"/>
        <w:color w:val="2bcaca"/>
        <w:sz w:val="32"/>
        <w:szCs w:val="32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5">
    <w:pPr>
      <w:rPr/>
    </w:pPr>
    <w:r w:rsidDel="00000000" w:rsidR="00000000" w:rsidRPr="00000000">
      <w:rPr/>
      <w:pict>
        <v:shape id="PowerPlusWaterMarkObject1" style="position:absolute;width:686.6857581633107pt;height:75.96509585092994pt;rotation:315;z-index:-503316481;mso-position-horizontal-relative:margin;mso-position-horizontal:center;mso-position-vertical-relative:margin;mso-position-vertical:center;" fillcolor="#e8eaed" stroked="f" type="#_x0000_t136">
          <v:fill angle="0" opacity="65536f"/>
          <v:textpath fitshape="t" string="Versão Preliminar 2025" style="font-family:&amp;quot;Arial&amp;quot;;font-size:1pt;"/>
        </v:shape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4391025</wp:posOffset>
          </wp:positionH>
          <wp:positionV relativeFrom="paragraph">
            <wp:posOffset>38100</wp:posOffset>
          </wp:positionV>
          <wp:extent cx="1664071" cy="173135"/>
          <wp:effectExtent b="0" l="0" r="0" t="0"/>
          <wp:wrapTopAndBottom distB="19050" distT="19050"/>
          <wp:docPr id="146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64071" cy="17313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rPr/>
    </w:pPr>
    <w:r w:rsidDel="00000000" w:rsidR="00000000" w:rsidRPr="00000000">
      <w:rPr>
        <w:rtl w:val="0"/>
      </w:rPr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Verdana" w:cs="Verdana" w:eastAsia="Verdana" w:hAnsi="Verdana"/>
        <w:sz w:val="22"/>
        <w:szCs w:val="22"/>
        <w:lang w:val="pt-PT"/>
      </w:rPr>
    </w:rPrDefault>
    <w:pPrDefault>
      <w:pPr>
        <w:widowControl w:val="0"/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720" w:right="661" w:hanging="360"/>
    </w:pPr>
    <w:rPr>
      <w:rFonts w:ascii="Montserrat" w:cs="Montserrat" w:eastAsia="Montserrat" w:hAnsi="Montserrat"/>
      <w:b w:val="1"/>
      <w:color w:val="2bcaca"/>
      <w:sz w:val="32"/>
      <w:szCs w:val="32"/>
    </w:rPr>
  </w:style>
  <w:style w:type="paragraph" w:styleId="Heading2">
    <w:name w:val="heading 2"/>
    <w:basedOn w:val="Normal"/>
    <w:next w:val="Normal"/>
    <w:pPr>
      <w:spacing w:before="70" w:lineRule="auto"/>
      <w:ind w:left="213"/>
    </w:pPr>
    <w:rPr>
      <w:b w:val="1"/>
      <w:sz w:val="44"/>
      <w:szCs w:val="44"/>
    </w:rPr>
  </w:style>
  <w:style w:type="paragraph" w:styleId="Heading3">
    <w:name w:val="heading 3"/>
    <w:basedOn w:val="Normal"/>
    <w:next w:val="Normal"/>
    <w:pPr>
      <w:spacing w:before="89" w:lineRule="auto"/>
      <w:ind w:left="213"/>
    </w:pPr>
    <w:rPr>
      <w:b w:val="1"/>
      <w:sz w:val="36"/>
      <w:szCs w:val="36"/>
    </w:rPr>
  </w:style>
  <w:style w:type="paragraph" w:styleId="Heading4">
    <w:name w:val="heading 4"/>
    <w:basedOn w:val="Normal"/>
    <w:next w:val="Normal"/>
    <w:pPr>
      <w:spacing w:before="79" w:lineRule="auto"/>
      <w:ind w:left="213"/>
      <w:jc w:val="both"/>
    </w:pPr>
    <w:rPr>
      <w:b w:val="1"/>
      <w:sz w:val="32"/>
      <w:szCs w:val="32"/>
    </w:rPr>
  </w:style>
  <w:style w:type="paragraph" w:styleId="Heading5">
    <w:name w:val="heading 5"/>
    <w:basedOn w:val="Normal"/>
    <w:next w:val="Normal"/>
    <w:pPr>
      <w:ind w:left="606" w:hanging="393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ind w:left="437" w:hanging="3028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before="76" w:lineRule="auto"/>
      <w:ind w:left="1440" w:hanging="360"/>
    </w:pPr>
    <w:rPr>
      <w:rFonts w:ascii="Montserrat" w:cs="Montserrat" w:eastAsia="Montserrat" w:hAnsi="Montserrat"/>
      <w:b w:val="1"/>
      <w:color w:val="2bcaca"/>
      <w:sz w:val="26"/>
      <w:szCs w:val="2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440" w:right="661" w:hanging="360"/>
    </w:pPr>
    <w:rPr>
      <w:rFonts w:ascii="Montserrat" w:cs="Montserrat" w:eastAsia="Montserrat" w:hAnsi="Montserrat"/>
      <w:b w:val="1"/>
      <w:color w:val="2bcaca"/>
      <w:sz w:val="26"/>
      <w:szCs w:val="26"/>
    </w:rPr>
  </w:style>
  <w:style w:type="paragraph" w:styleId="Heading2">
    <w:name w:val="heading 2"/>
    <w:basedOn w:val="Normal"/>
    <w:next w:val="Normal"/>
    <w:pPr>
      <w:spacing w:before="70" w:lineRule="auto"/>
      <w:ind w:left="213"/>
    </w:pPr>
    <w:rPr>
      <w:b w:val="1"/>
      <w:sz w:val="44"/>
      <w:szCs w:val="44"/>
    </w:rPr>
  </w:style>
  <w:style w:type="paragraph" w:styleId="Heading3">
    <w:name w:val="heading 3"/>
    <w:basedOn w:val="Normal"/>
    <w:next w:val="Normal"/>
    <w:pPr>
      <w:spacing w:before="89" w:lineRule="auto"/>
      <w:ind w:left="213"/>
    </w:pPr>
    <w:rPr>
      <w:b w:val="1"/>
      <w:sz w:val="36"/>
      <w:szCs w:val="36"/>
    </w:rPr>
  </w:style>
  <w:style w:type="paragraph" w:styleId="Heading4">
    <w:name w:val="heading 4"/>
    <w:basedOn w:val="Normal"/>
    <w:next w:val="Normal"/>
    <w:pPr>
      <w:spacing w:before="79" w:lineRule="auto"/>
      <w:ind w:left="213"/>
      <w:jc w:val="both"/>
    </w:pPr>
    <w:rPr>
      <w:b w:val="1"/>
      <w:sz w:val="32"/>
      <w:szCs w:val="32"/>
    </w:rPr>
  </w:style>
  <w:style w:type="paragraph" w:styleId="Heading5">
    <w:name w:val="heading 5"/>
    <w:basedOn w:val="Normal"/>
    <w:next w:val="Normal"/>
    <w:pPr>
      <w:ind w:left="606" w:hanging="393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ind w:left="437" w:hanging="3028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after="240" w:before="240" w:line="360" w:lineRule="auto"/>
      <w:jc w:val="both"/>
    </w:pPr>
    <w:rPr>
      <w:rFonts w:ascii="Montserrat" w:cs="Montserrat" w:eastAsia="Montserrat" w:hAnsi="Montserrat"/>
      <w:b w:val="1"/>
      <w:color w:val="2bcaca"/>
      <w:sz w:val="26"/>
      <w:szCs w:val="2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5200" w:right="661"/>
    </w:pPr>
    <w:rPr>
      <w:b w:val="1"/>
      <w:sz w:val="56"/>
      <w:szCs w:val="56"/>
    </w:rPr>
  </w:style>
  <w:style w:type="paragraph" w:styleId="Heading2">
    <w:name w:val="heading 2"/>
    <w:basedOn w:val="Normal"/>
    <w:next w:val="Normal"/>
    <w:pPr>
      <w:spacing w:after="200" w:before="70" w:lineRule="auto"/>
      <w:ind w:left="213"/>
      <w:jc w:val="both"/>
    </w:pPr>
    <w:rPr>
      <w:rFonts w:ascii="Montserrat" w:cs="Montserrat" w:eastAsia="Montserrat" w:hAnsi="Montserrat"/>
      <w:b w:val="1"/>
      <w:sz w:val="28"/>
      <w:szCs w:val="28"/>
    </w:rPr>
  </w:style>
  <w:style w:type="paragraph" w:styleId="Heading3">
    <w:name w:val="heading 3"/>
    <w:basedOn w:val="Normal"/>
    <w:next w:val="Normal"/>
    <w:pPr>
      <w:spacing w:before="89" w:lineRule="auto"/>
      <w:ind w:left="213"/>
    </w:pPr>
    <w:rPr>
      <w:rFonts w:ascii="Montserrat" w:cs="Montserrat" w:eastAsia="Montserrat" w:hAnsi="Montserrat"/>
      <w:b w:val="1"/>
      <w:sz w:val="28"/>
      <w:szCs w:val="28"/>
    </w:rPr>
  </w:style>
  <w:style w:type="paragraph" w:styleId="Heading4">
    <w:name w:val="heading 4"/>
    <w:basedOn w:val="Normal"/>
    <w:next w:val="Normal"/>
    <w:pPr>
      <w:spacing w:before="79" w:lineRule="auto"/>
      <w:ind w:left="213"/>
      <w:jc w:val="both"/>
    </w:pPr>
    <w:rPr>
      <w:b w:val="1"/>
      <w:sz w:val="32"/>
      <w:szCs w:val="32"/>
    </w:rPr>
  </w:style>
  <w:style w:type="paragraph" w:styleId="Heading5">
    <w:name w:val="heading 5"/>
    <w:basedOn w:val="Normal"/>
    <w:next w:val="Normal"/>
    <w:pPr>
      <w:ind w:left="606" w:hanging="393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ind w:left="437" w:hanging="3028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before="76" w:lineRule="auto"/>
    </w:pPr>
    <w:rPr>
      <w:rFonts w:ascii="Montserrat" w:cs="Montserrat" w:eastAsia="Montserrat" w:hAnsi="Montserrat"/>
      <w:b w:val="1"/>
      <w:color w:val="2bcaca"/>
      <w:sz w:val="44"/>
      <w:szCs w:val="4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/>
    <w:rPr>
      <w:rFonts w:ascii="Montserrat" w:cs="Montserrat" w:eastAsia="Montserrat" w:hAnsi="Montserrat"/>
      <w:b w:val="1"/>
      <w:sz w:val="24"/>
      <w:szCs w:val="24"/>
    </w:rPr>
  </w:style>
  <w:style w:type="paragraph" w:styleId="Heading2">
    <w:name w:val="heading 2"/>
    <w:basedOn w:val="Normal"/>
    <w:next w:val="Normal"/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ffffff" w:val="clear"/>
      <w:spacing w:before="240" w:line="360" w:lineRule="auto"/>
      <w:ind w:left="720" w:right="661" w:hanging="360"/>
    </w:pPr>
    <w:rPr>
      <w:rFonts w:ascii="Montserrat" w:cs="Montserrat" w:eastAsia="Montserrat" w:hAnsi="Montserrat"/>
      <w:b w:val="1"/>
      <w:color w:val="2bcaca"/>
      <w:sz w:val="32"/>
      <w:szCs w:val="32"/>
    </w:rPr>
  </w:style>
  <w:style w:type="paragraph" w:styleId="Heading3">
    <w:name w:val="heading 3"/>
    <w:basedOn w:val="Normal"/>
    <w:next w:val="Normal"/>
    <w:pPr>
      <w:spacing w:before="89" w:lineRule="auto"/>
      <w:ind w:left="213"/>
    </w:pPr>
    <w:rPr>
      <w:b w:val="1"/>
      <w:sz w:val="36"/>
      <w:szCs w:val="36"/>
    </w:rPr>
  </w:style>
  <w:style w:type="paragraph" w:styleId="Heading4">
    <w:name w:val="heading 4"/>
    <w:basedOn w:val="Normal"/>
    <w:next w:val="Normal"/>
    <w:pPr>
      <w:spacing w:before="79" w:lineRule="auto"/>
      <w:ind w:left="213"/>
      <w:jc w:val="both"/>
    </w:pPr>
    <w:rPr>
      <w:b w:val="1"/>
      <w:sz w:val="32"/>
      <w:szCs w:val="32"/>
    </w:rPr>
  </w:style>
  <w:style w:type="paragraph" w:styleId="Heading5">
    <w:name w:val="heading 5"/>
    <w:basedOn w:val="Normal"/>
    <w:next w:val="Normal"/>
    <w:pPr>
      <w:ind w:left="606" w:hanging="393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ind w:left="437" w:hanging="3028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ffffff" w:val="clear"/>
      <w:spacing w:before="240" w:line="360" w:lineRule="auto"/>
      <w:ind w:left="720" w:right="661" w:hanging="360"/>
    </w:pPr>
    <w:rPr>
      <w:rFonts w:ascii="Montserrat" w:cs="Montserrat" w:eastAsia="Montserrat" w:hAnsi="Montserrat"/>
      <w:b w:val="1"/>
      <w:color w:val="2bcaca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</w:pBdr>
      <w:shd w:fill="ffffff" w:val="clear"/>
      <w:spacing w:after="240" w:before="240" w:line="360" w:lineRule="auto"/>
      <w:jc w:val="both"/>
    </w:pPr>
    <w:rPr>
      <w:rFonts w:ascii="Montserrat" w:cs="Montserrat" w:eastAsia="Montserrat" w:hAnsi="Montserrat"/>
      <w:b w:val="1"/>
      <w:color w:val="2bcaca"/>
      <w:sz w:val="28"/>
      <w:szCs w:val="28"/>
    </w:rPr>
  </w:style>
  <w:style w:type="paragraph" w:styleId="Heading2">
    <w:name w:val="heading 2"/>
    <w:basedOn w:val="Normal"/>
    <w:next w:val="Normal"/>
    <w:pPr>
      <w:spacing w:before="70" w:lineRule="auto"/>
      <w:ind w:left="213"/>
    </w:pPr>
    <w:rPr>
      <w:b w:val="1"/>
      <w:sz w:val="44"/>
      <w:szCs w:val="44"/>
    </w:rPr>
  </w:style>
  <w:style w:type="paragraph" w:styleId="Heading3">
    <w:name w:val="heading 3"/>
    <w:basedOn w:val="Normal"/>
    <w:next w:val="Normal"/>
    <w:pPr>
      <w:spacing w:before="89" w:lineRule="auto"/>
      <w:ind w:left="213"/>
    </w:pPr>
    <w:rPr>
      <w:b w:val="1"/>
      <w:sz w:val="36"/>
      <w:szCs w:val="36"/>
    </w:rPr>
  </w:style>
  <w:style w:type="paragraph" w:styleId="Heading4">
    <w:name w:val="heading 4"/>
    <w:basedOn w:val="Normal"/>
    <w:next w:val="Normal"/>
    <w:pPr>
      <w:spacing w:before="79" w:lineRule="auto"/>
      <w:ind w:left="213"/>
      <w:jc w:val="both"/>
    </w:pPr>
    <w:rPr>
      <w:b w:val="1"/>
      <w:sz w:val="32"/>
      <w:szCs w:val="32"/>
    </w:rPr>
  </w:style>
  <w:style w:type="paragraph" w:styleId="Heading5">
    <w:name w:val="heading 5"/>
    <w:basedOn w:val="Normal"/>
    <w:next w:val="Normal"/>
    <w:pPr>
      <w:ind w:left="606" w:hanging="393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ind w:left="437" w:hanging="3028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</w:pBdr>
      <w:shd w:fill="ffffff" w:val="clear"/>
      <w:spacing w:after="240" w:before="240" w:line="360" w:lineRule="auto"/>
      <w:jc w:val="both"/>
    </w:pPr>
    <w:rPr>
      <w:rFonts w:ascii="Montserrat" w:cs="Montserrat" w:eastAsia="Montserrat" w:hAnsi="Montserrat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76" w:lineRule="auto"/>
    </w:pPr>
    <w:rPr>
      <w:rFonts w:ascii="Montserrat" w:cs="Montserrat" w:eastAsia="Montserrat" w:hAnsi="Montserrat"/>
      <w:b w:val="1"/>
      <w:color w:val="2bcaca"/>
      <w:sz w:val="44"/>
      <w:szCs w:val="44"/>
    </w:rPr>
  </w:style>
  <w:style w:type="paragraph" w:styleId="Heading2">
    <w:name w:val="heading 2"/>
    <w:basedOn w:val="Normal"/>
    <w:next w:val="Normal"/>
    <w:pPr>
      <w:spacing w:before="70" w:lineRule="auto"/>
      <w:ind w:left="213"/>
    </w:pPr>
    <w:rPr>
      <w:b w:val="1"/>
      <w:color w:val="2bcaca"/>
      <w:sz w:val="44"/>
      <w:szCs w:val="44"/>
    </w:rPr>
  </w:style>
  <w:style w:type="paragraph" w:styleId="Heading3">
    <w:name w:val="heading 3"/>
    <w:basedOn w:val="Normal"/>
    <w:next w:val="Normal"/>
    <w:pPr>
      <w:spacing w:before="89" w:lineRule="auto"/>
      <w:ind w:left="213"/>
    </w:pPr>
    <w:rPr>
      <w:b w:val="1"/>
      <w:sz w:val="36"/>
      <w:szCs w:val="36"/>
    </w:rPr>
  </w:style>
  <w:style w:type="paragraph" w:styleId="Heading4">
    <w:name w:val="heading 4"/>
    <w:basedOn w:val="Normal"/>
    <w:next w:val="Normal"/>
    <w:pPr>
      <w:spacing w:before="79" w:lineRule="auto"/>
      <w:ind w:left="213"/>
      <w:jc w:val="both"/>
    </w:pPr>
    <w:rPr>
      <w:b w:val="1"/>
      <w:sz w:val="32"/>
      <w:szCs w:val="32"/>
    </w:rPr>
  </w:style>
  <w:style w:type="paragraph" w:styleId="Heading5">
    <w:name w:val="heading 5"/>
    <w:basedOn w:val="Normal"/>
    <w:next w:val="Normal"/>
    <w:pPr>
      <w:ind w:left="606" w:hanging="393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ind w:left="437" w:hanging="3028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before="76" w:lineRule="auto"/>
    </w:pPr>
    <w:rPr>
      <w:rFonts w:ascii="Montserrat" w:cs="Montserrat" w:eastAsia="Montserrat" w:hAnsi="Montserrat"/>
      <w:b w:val="1"/>
      <w:color w:val="2bcaca"/>
      <w:sz w:val="44"/>
      <w:szCs w:val="44"/>
    </w:rPr>
  </w:style>
  <w:style w:type="paragraph" w:styleId="Normal" w:default="1">
    <w:name w:val="Normal"/>
    <w:qFormat w:val="1"/>
    <w:rPr>
      <w:rFonts w:ascii="Verdana" w:cs="Verdana" w:eastAsia="Verdana" w:hAnsi="Verdana"/>
      <w:lang w:val="pt-PT"/>
    </w:rPr>
  </w:style>
  <w:style w:type="paragraph" w:styleId="Ttulo1">
    <w:name w:val="heading 1"/>
    <w:basedOn w:val="Normal"/>
    <w:uiPriority w:val="9"/>
    <w:qFormat w:val="1"/>
    <w:pPr>
      <w:ind w:left="5200" w:right="661"/>
      <w:outlineLvl w:val="0"/>
    </w:pPr>
    <w:rPr>
      <w:b w:val="1"/>
      <w:bCs w:val="1"/>
      <w:sz w:val="56"/>
      <w:szCs w:val="56"/>
    </w:rPr>
  </w:style>
  <w:style w:type="paragraph" w:styleId="Ttulo2">
    <w:name w:val="heading 2"/>
    <w:basedOn w:val="Normal"/>
    <w:uiPriority w:val="9"/>
    <w:unhideWhenUsed w:val="1"/>
    <w:qFormat w:val="1"/>
    <w:pPr>
      <w:spacing w:before="70"/>
      <w:ind w:left="213"/>
      <w:outlineLvl w:val="1"/>
    </w:pPr>
    <w:rPr>
      <w:b w:val="1"/>
      <w:bCs w:val="1"/>
      <w:sz w:val="44"/>
      <w:szCs w:val="44"/>
    </w:rPr>
  </w:style>
  <w:style w:type="paragraph" w:styleId="Ttulo3">
    <w:name w:val="heading 3"/>
    <w:basedOn w:val="Normal"/>
    <w:uiPriority w:val="9"/>
    <w:unhideWhenUsed w:val="1"/>
    <w:qFormat w:val="1"/>
    <w:pPr>
      <w:spacing w:before="89"/>
      <w:ind w:left="213"/>
      <w:outlineLvl w:val="2"/>
    </w:pPr>
    <w:rPr>
      <w:b w:val="1"/>
      <w:bCs w:val="1"/>
      <w:sz w:val="36"/>
      <w:szCs w:val="36"/>
    </w:rPr>
  </w:style>
  <w:style w:type="paragraph" w:styleId="Ttulo4">
    <w:name w:val="heading 4"/>
    <w:basedOn w:val="Normal"/>
    <w:uiPriority w:val="9"/>
    <w:unhideWhenUsed w:val="1"/>
    <w:qFormat w:val="1"/>
    <w:pPr>
      <w:spacing w:before="79"/>
      <w:ind w:left="213"/>
      <w:jc w:val="both"/>
      <w:outlineLvl w:val="3"/>
    </w:pPr>
    <w:rPr>
      <w:b w:val="1"/>
      <w:bCs w:val="1"/>
      <w:sz w:val="32"/>
      <w:szCs w:val="32"/>
    </w:rPr>
  </w:style>
  <w:style w:type="paragraph" w:styleId="Ttulo5">
    <w:name w:val="heading 5"/>
    <w:basedOn w:val="Normal"/>
    <w:uiPriority w:val="9"/>
    <w:unhideWhenUsed w:val="1"/>
    <w:qFormat w:val="1"/>
    <w:pPr>
      <w:ind w:left="606" w:hanging="393"/>
      <w:outlineLvl w:val="4"/>
    </w:pPr>
    <w:rPr>
      <w:b w:val="1"/>
      <w:bCs w:val="1"/>
      <w:sz w:val="28"/>
      <w:szCs w:val="28"/>
    </w:rPr>
  </w:style>
  <w:style w:type="paragraph" w:styleId="Ttulo6">
    <w:name w:val="heading 6"/>
    <w:basedOn w:val="Normal"/>
    <w:uiPriority w:val="9"/>
    <w:unhideWhenUsed w:val="1"/>
    <w:qFormat w:val="1"/>
    <w:pPr>
      <w:ind w:left="437" w:hanging="3028"/>
      <w:outlineLvl w:val="5"/>
    </w:pPr>
    <w:rPr>
      <w:b w:val="1"/>
      <w:b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mrio1">
    <w:name w:val="toc 1"/>
    <w:basedOn w:val="Normal"/>
    <w:uiPriority w:val="1"/>
    <w:qFormat w:val="1"/>
    <w:pPr>
      <w:spacing w:before="196"/>
      <w:ind w:left="213"/>
    </w:pPr>
    <w:rPr>
      <w:b w:val="1"/>
      <w:bCs w:val="1"/>
      <w:sz w:val="24"/>
      <w:szCs w:val="24"/>
    </w:rPr>
  </w:style>
  <w:style w:type="paragraph" w:styleId="Sumrio2">
    <w:name w:val="toc 2"/>
    <w:basedOn w:val="Normal"/>
    <w:uiPriority w:val="1"/>
    <w:qFormat w:val="1"/>
    <w:pPr>
      <w:spacing w:line="290" w:lineRule="exact"/>
      <w:ind w:left="383"/>
    </w:pPr>
    <w:rPr>
      <w:b w:val="1"/>
      <w:bCs w:val="1"/>
      <w:sz w:val="24"/>
      <w:szCs w:val="24"/>
    </w:rPr>
  </w:style>
  <w:style w:type="paragraph" w:styleId="Sumrio3">
    <w:name w:val="toc 3"/>
    <w:basedOn w:val="Normal"/>
    <w:uiPriority w:val="1"/>
    <w:qFormat w:val="1"/>
    <w:pPr>
      <w:spacing w:before="196" w:line="290" w:lineRule="exact"/>
      <w:ind w:left="554"/>
    </w:pPr>
    <w:rPr>
      <w:b w:val="1"/>
      <w:bCs w:val="1"/>
      <w:sz w:val="24"/>
      <w:szCs w:val="24"/>
    </w:rPr>
  </w:style>
  <w:style w:type="paragraph" w:styleId="Sumrio4">
    <w:name w:val="toc 4"/>
    <w:basedOn w:val="Normal"/>
    <w:uiPriority w:val="1"/>
    <w:qFormat w:val="1"/>
    <w:pPr>
      <w:spacing w:before="196"/>
      <w:ind w:left="781"/>
    </w:pPr>
    <w:rPr>
      <w:sz w:val="24"/>
      <w:szCs w:val="24"/>
    </w:r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  <w:pPr>
      <w:spacing w:before="89"/>
      <w:ind w:left="666" w:hanging="226"/>
    </w:pPr>
  </w:style>
  <w:style w:type="paragraph" w:styleId="TableParagraph" w:customStyle="1">
    <w:name w:val="Table Paragraph"/>
    <w:basedOn w:val="Normal"/>
    <w:uiPriority w:val="1"/>
    <w:qFormat w:val="1"/>
    <w:pPr>
      <w:spacing w:before="141"/>
      <w:ind w:left="11" w:right="1"/>
      <w:jc w:val="center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ind w:left="720" w:hanging="360"/>
    </w:pPr>
    <w:rPr>
      <w:rFonts w:ascii="Montserrat" w:cs="Montserrat" w:eastAsia="Montserrat" w:hAnsi="Montserrat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ind w:left="720" w:hanging="360"/>
    </w:pPr>
    <w:rPr>
      <w:rFonts w:ascii="Montserrat" w:cs="Montserrat" w:eastAsia="Montserrat" w:hAnsi="Montserrat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before="76" w:lineRule="auto"/>
    </w:pPr>
    <w:rPr>
      <w:rFonts w:ascii="Montserrat" w:cs="Montserrat" w:eastAsia="Montserrat" w:hAnsi="Montserrat"/>
      <w:b w:val="1"/>
      <w:color w:val="2bcaca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before="76" w:lineRule="auto"/>
    </w:pPr>
    <w:rPr>
      <w:rFonts w:ascii="Montserrat" w:cs="Montserrat" w:eastAsia="Montserrat" w:hAnsi="Montserrat"/>
      <w:b w:val="1"/>
      <w:color w:val="2bcaca"/>
      <w:sz w:val="36"/>
      <w:szCs w:val="36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decentro.educacao.sp.gov.br/lei-no-18-028-de-10-de-setembro-de-2024-institui-o-programa-estagio-sp-de-incentivo-a-concessao-de-estagio-aprendizagem-profissional-e-monitoria-para-estudantes-do-ensino-medio-da-rede-publica-es/" TargetMode="External"/><Relationship Id="rId22" Type="http://schemas.openxmlformats.org/officeDocument/2006/relationships/hyperlink" Target="https://leisestaduais.com.br/sp/decreto-n-68935-2024-sao-paulo-regulamenta-a-lei-no-18-028-de-10-de-setembro-de-2024-que-institui-o-programa-estagio-sp-de-incentivo-a-concessao-de-estagio-aprendizagem-profissional-e-monitoria-para-estudantes-do-ensino-medio-da-rede-publica-esta" TargetMode="External"/><Relationship Id="rId21" Type="http://schemas.openxmlformats.org/officeDocument/2006/relationships/hyperlink" Target="https://decentro.educacao.sp.gov.br/lei-no-18-028-de-10-de-setembro-de-2024-institui-o-programa-estagio-sp-de-incentivo-a-concessao-de-estagio-aprendizagem-profissional-e-monitoria-para-estudantes-do-ensino-medio-da-rede-publica-es/" TargetMode="External"/><Relationship Id="rId24" Type="http://schemas.openxmlformats.org/officeDocument/2006/relationships/hyperlink" Target="https://docs.google.com/document/d/1TA99lj__lVxoh_TMsTpWvfpBzTnvZzah/edit?usp=sharing&amp;ouid=114517096465786619445&amp;rtpof=true&amp;sd=true" TargetMode="External"/><Relationship Id="rId23" Type="http://schemas.openxmlformats.org/officeDocument/2006/relationships/hyperlink" Target="https://leisestaduais.com.br/sp/decreto-n-68935-2024-sao-paulo-regulamenta-a-lei-no-18-028-de-10-de-setembro-de-2024-que-institui-o-programa-estagio-sp-de-incentivo-a-concessao-de-estagio-aprendizagem-profissional-e-monitoria-para-estudantes-do-ensino-medio-da-rede-publica-est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26" Type="http://schemas.openxmlformats.org/officeDocument/2006/relationships/hyperlink" Target="https://institutoayrtonsenna.org.br/o-que-defendemos/competencias-socioemocionais-estudantes/" TargetMode="External"/><Relationship Id="rId25" Type="http://schemas.openxmlformats.org/officeDocument/2006/relationships/hyperlink" Target="https://institutoayrtonsenna.org.br/o-que-defendemos/competencias-socioemocionais-estudantes/" TargetMode="External"/><Relationship Id="rId28" Type="http://schemas.openxmlformats.org/officeDocument/2006/relationships/hyperlink" Target="https://www.gov.br/inep/pt-br/areas-de-atuacao/avaliacao-e-exames-educacionais/SAEB/matrizes-e-escalas" TargetMode="External"/><Relationship Id="rId27" Type="http://schemas.openxmlformats.org/officeDocument/2006/relationships/hyperlink" Target="https://www.gov.br/inep/pt-br/areas-de-atuacao/avaliacao-e-exames-educacionais/SAEB/matrizes-e-escala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eader" Target="header5.xml"/><Relationship Id="rId7" Type="http://schemas.openxmlformats.org/officeDocument/2006/relationships/image" Target="media/image9.png"/><Relationship Id="rId8" Type="http://schemas.openxmlformats.org/officeDocument/2006/relationships/image" Target="media/image7.png"/><Relationship Id="rId11" Type="http://schemas.openxmlformats.org/officeDocument/2006/relationships/image" Target="media/image8.png"/><Relationship Id="rId10" Type="http://schemas.openxmlformats.org/officeDocument/2006/relationships/image" Target="media/image4.png"/><Relationship Id="rId13" Type="http://schemas.openxmlformats.org/officeDocument/2006/relationships/header" Target="header2.xml"/><Relationship Id="rId12" Type="http://schemas.openxmlformats.org/officeDocument/2006/relationships/header" Target="header1.xml"/><Relationship Id="rId15" Type="http://schemas.openxmlformats.org/officeDocument/2006/relationships/footer" Target="footer2.xml"/><Relationship Id="rId14" Type="http://schemas.openxmlformats.org/officeDocument/2006/relationships/footer" Target="footer1.xml"/><Relationship Id="rId17" Type="http://schemas.openxmlformats.org/officeDocument/2006/relationships/footer" Target="footer3.xml"/><Relationship Id="rId16" Type="http://schemas.openxmlformats.org/officeDocument/2006/relationships/header" Target="header3.xml"/><Relationship Id="rId19" Type="http://schemas.openxmlformats.org/officeDocument/2006/relationships/hyperlink" Target="https://www.bb.com.br/site/pra-voce/contas/poupanca-social-bb/" TargetMode="External"/><Relationship Id="rId18" Type="http://schemas.openxmlformats.org/officeDocument/2006/relationships/header" Target="header4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dHOV7MepJO8PmZrb1m8U0iNJQA==">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2024-02-15T16:46:00Z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2024-01-22T00:00:00Z</vt:lpwstr>
  </property>
  <property fmtid="{D5CDD505-2E9C-101B-9397-08002B2CF9AE}" pid="3" name="Creator">
    <vt:lpwstr>Adobe InDesign 19.1 (Macintosh)</vt:lpwstr>
  </property>
  <property fmtid="{D5CDD505-2E9C-101B-9397-08002B2CF9AE}" pid="4" name="LastSaved">
    <vt:lpwstr>2024-02-15T00:00:00Z</vt:lpwstr>
  </property>
  <property fmtid="{D5CDD505-2E9C-101B-9397-08002B2CF9AE}" pid="5" name="Producer">
    <vt:lpwstr>Adobe PDF Library 17.0</vt:lpwstr>
  </property>
</Properties>
</file>